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C598F" w14:textId="77777777" w:rsidR="00ED0C91" w:rsidRPr="00ED0C91" w:rsidRDefault="002F6B0A" w:rsidP="00ED0C91">
      <w:pPr>
        <w:spacing w:after="0" w:line="360" w:lineRule="auto"/>
        <w:jc w:val="right"/>
        <w:rPr>
          <w:rFonts w:ascii="Times New Roman" w:eastAsia="Times New Roman" w:hAnsi="Times New Roman" w:cs="Arial"/>
          <w:sz w:val="24"/>
          <w:szCs w:val="20"/>
          <w:u w:val="single"/>
          <w:lang w:eastAsia="pl-PL"/>
        </w:rPr>
      </w:pPr>
      <w:r>
        <w:rPr>
          <w:rFonts w:ascii="Times New Roman" w:eastAsia="Times New Roman" w:hAnsi="Times New Roman" w:cs="Arial"/>
          <w:sz w:val="24"/>
          <w:szCs w:val="20"/>
          <w:u w:val="single"/>
          <w:lang w:eastAsia="pl-PL"/>
        </w:rPr>
        <w:t xml:space="preserve">Projekt z dnia </w:t>
      </w:r>
      <w:r w:rsidR="006E368D">
        <w:rPr>
          <w:rFonts w:ascii="Times New Roman" w:eastAsia="Times New Roman" w:hAnsi="Times New Roman" w:cs="Arial"/>
          <w:sz w:val="24"/>
          <w:szCs w:val="20"/>
          <w:u w:val="single"/>
          <w:lang w:eastAsia="pl-PL"/>
        </w:rPr>
        <w:t xml:space="preserve">18 </w:t>
      </w:r>
      <w:r>
        <w:rPr>
          <w:rFonts w:ascii="Times New Roman" w:eastAsia="Times New Roman" w:hAnsi="Times New Roman" w:cs="Arial"/>
          <w:sz w:val="24"/>
          <w:szCs w:val="20"/>
          <w:u w:val="single"/>
          <w:lang w:eastAsia="pl-PL"/>
        </w:rPr>
        <w:t>lipca</w:t>
      </w:r>
      <w:r w:rsidR="00ED0C91" w:rsidRPr="00ED0C91">
        <w:rPr>
          <w:rFonts w:ascii="Times New Roman" w:eastAsia="Times New Roman" w:hAnsi="Times New Roman" w:cs="Arial"/>
          <w:sz w:val="24"/>
          <w:szCs w:val="20"/>
          <w:u w:val="single"/>
          <w:lang w:eastAsia="pl-PL"/>
        </w:rPr>
        <w:t xml:space="preserve"> 2019 r.</w:t>
      </w:r>
    </w:p>
    <w:p w14:paraId="2FB4A70E" w14:textId="77777777" w:rsidR="00ED0C91" w:rsidRPr="00ED0C91" w:rsidRDefault="00ED0C91" w:rsidP="00ED0C91">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ED0C91">
        <w:rPr>
          <w:rFonts w:ascii="Times" w:eastAsia="Times New Roman" w:hAnsi="Times" w:cs="Times New Roman"/>
          <w:b/>
          <w:bCs/>
          <w:caps/>
          <w:spacing w:val="54"/>
          <w:kern w:val="24"/>
          <w:sz w:val="24"/>
          <w:szCs w:val="24"/>
          <w:lang w:eastAsia="pl-PL"/>
        </w:rPr>
        <w:t>UCHWAŁA NR…</w:t>
      </w:r>
    </w:p>
    <w:p w14:paraId="40799156" w14:textId="77777777" w:rsidR="00ED0C91" w:rsidRPr="00ED0C91" w:rsidRDefault="00ED0C91" w:rsidP="00ED0C91">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ED0C91">
        <w:rPr>
          <w:rFonts w:ascii="Times" w:eastAsia="Times New Roman" w:hAnsi="Times" w:cs="Times New Roman"/>
          <w:b/>
          <w:bCs/>
          <w:caps/>
          <w:spacing w:val="54"/>
          <w:kern w:val="24"/>
          <w:sz w:val="24"/>
          <w:szCs w:val="24"/>
          <w:lang w:eastAsia="pl-PL"/>
        </w:rPr>
        <w:t>RADY MINISTRÓW</w:t>
      </w:r>
    </w:p>
    <w:p w14:paraId="12C97480" w14:textId="77777777" w:rsidR="00ED0C91" w:rsidRPr="00ED0C91" w:rsidRDefault="00ED0C91" w:rsidP="00ED0C91">
      <w:pPr>
        <w:keepNext/>
        <w:suppressAutoHyphens/>
        <w:spacing w:before="120" w:after="120" w:line="360" w:lineRule="auto"/>
        <w:jc w:val="center"/>
        <w:rPr>
          <w:rFonts w:ascii="Times" w:eastAsia="Times New Roman" w:hAnsi="Times" w:cs="Arial"/>
          <w:bCs/>
          <w:sz w:val="24"/>
          <w:szCs w:val="24"/>
          <w:lang w:eastAsia="pl-PL"/>
        </w:rPr>
      </w:pPr>
      <w:r w:rsidRPr="00ED0C91">
        <w:rPr>
          <w:rFonts w:ascii="Times" w:eastAsia="Times New Roman" w:hAnsi="Times" w:cs="Arial"/>
          <w:bCs/>
          <w:sz w:val="24"/>
          <w:szCs w:val="24"/>
          <w:lang w:eastAsia="pl-PL"/>
        </w:rPr>
        <w:t>z dnia ……..……………. 2019 r.</w:t>
      </w:r>
    </w:p>
    <w:p w14:paraId="55870753" w14:textId="77777777" w:rsidR="00ED0C91" w:rsidRPr="00ED0C91" w:rsidRDefault="00ED0C91" w:rsidP="00ED0C91">
      <w:pPr>
        <w:keepNext/>
        <w:suppressAutoHyphens/>
        <w:spacing w:before="120" w:after="360" w:line="360" w:lineRule="auto"/>
        <w:jc w:val="center"/>
        <w:rPr>
          <w:rFonts w:ascii="Times" w:eastAsia="Times New Roman" w:hAnsi="Times" w:cs="Arial"/>
          <w:b/>
          <w:bCs/>
          <w:sz w:val="24"/>
          <w:szCs w:val="24"/>
          <w:lang w:eastAsia="pl-PL"/>
        </w:rPr>
      </w:pPr>
      <w:r w:rsidRPr="00ED0C91">
        <w:rPr>
          <w:rFonts w:ascii="Times" w:eastAsia="Times New Roman" w:hAnsi="Times" w:cs="Arial"/>
          <w:b/>
          <w:bCs/>
          <w:sz w:val="24"/>
          <w:szCs w:val="24"/>
          <w:lang w:eastAsia="pl-PL"/>
        </w:rPr>
        <w:t>w sprawie Inicjatywy „Wspólna Infrastruktura Informatyczna Państwa”</w:t>
      </w:r>
    </w:p>
    <w:p w14:paraId="3830D72A"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Kierując się potrzebą zapewnienia bezpieczeństwa danych przetwarzanych w systemach teleinformatycznych podmiotów administracji publicznej oraz optymalizacji kosztów utrzymania tych systemów, uznając, że wprowadzenie jednolitych wysokich standardów ochrony systemów informatycznych i wspieranie podmiotów administracji publicznej </w:t>
      </w:r>
      <w:r w:rsidR="003E3466">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utrzymaniu tych systemów oraz uzyskiwaniu usług niezbędnych do ich budowy, rozwoju </w:t>
      </w:r>
      <w:r w:rsidR="003E3466">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utrzymania przyczyni się do zapewnienia wysokiego poziomu usług świadczonych społeczeństwu przez administrację publiczną, uchwala się, co następuje:</w:t>
      </w:r>
    </w:p>
    <w:p w14:paraId="44BB4232"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w:t>
      </w:r>
      <w:r w:rsidRPr="00ED0C91">
        <w:rPr>
          <w:rFonts w:ascii="Times" w:eastAsia="Times New Roman" w:hAnsi="Times" w:cs="Arial"/>
          <w:sz w:val="24"/>
          <w:szCs w:val="20"/>
          <w:lang w:eastAsia="pl-PL"/>
        </w:rPr>
        <w:t> 1. Przyjmuje się Inicjatywę „Wspólna Infrastruktura Informatyczna Państwa”, zwaną dalej „Inicjatywą WIIP”.</w:t>
      </w:r>
    </w:p>
    <w:p w14:paraId="5EE74D22" w14:textId="77777777"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Inicjatywa WIIP obejmuje:</w:t>
      </w:r>
    </w:p>
    <w:p w14:paraId="6A86EA70"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budowę, rozwój i utrzymanie prywatnej chmury obliczeniowej administracji publicznej, z wykorzystaniem w szczególności sieci teletransmisji pozostających w dyspozycji podmiotów publicznych;</w:t>
      </w:r>
    </w:p>
    <w:p w14:paraId="54DCC9C4"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budowę, rozwój i utrzymanie Rządowego Klastra Bezpieczeństwa</w:t>
      </w:r>
      <w:r w:rsidR="007135AC">
        <w:rPr>
          <w:rFonts w:ascii="Times" w:eastAsia="Times New Roman" w:hAnsi="Times" w:cs="Arial"/>
          <w:bCs/>
          <w:sz w:val="24"/>
          <w:szCs w:val="20"/>
          <w:lang w:eastAsia="pl-PL"/>
        </w:rPr>
        <w:t>;</w:t>
      </w:r>
    </w:p>
    <w:p w14:paraId="35354071"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 xml:space="preserve">zapewnienie podmiotom administracji publicznej możliwości nabywania usług przetwarzania w publicznych chmurach obliczeniowych od wykonawców wybranych </w:t>
      </w:r>
      <w:r w:rsidR="004C561E">
        <w:rPr>
          <w:rFonts w:ascii="Times" w:eastAsia="Times New Roman" w:hAnsi="Times" w:cs="Arial"/>
          <w:bCs/>
          <w:sz w:val="24"/>
          <w:szCs w:val="20"/>
          <w:lang w:eastAsia="pl-PL"/>
        </w:rPr>
        <w:t xml:space="preserve">w zamówieniu wspólnym lub </w:t>
      </w:r>
      <w:r w:rsidRPr="00ED0C91">
        <w:rPr>
          <w:rFonts w:ascii="Times" w:eastAsia="Times New Roman" w:hAnsi="Times" w:cs="Arial"/>
          <w:bCs/>
          <w:sz w:val="24"/>
          <w:szCs w:val="20"/>
          <w:lang w:eastAsia="pl-PL"/>
        </w:rPr>
        <w:t>przez centralnego zamawiającego;</w:t>
      </w:r>
    </w:p>
    <w:p w14:paraId="56F5F987"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zapewnienie funkcjonowania systemu teleinformatycznego wspomagającego zarządzanie usługami przetwarzania w Rządowej Chmurze Obliczeniowej i w publicznych chmurach obliczeniowych, zwanego dalej „Systemem Zapewnienia Usług Chmurowych”;</w:t>
      </w:r>
    </w:p>
    <w:p w14:paraId="35729F03"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 xml:space="preserve">określenie przez ministra właściwego do spraw informatyzacji </w:t>
      </w:r>
      <w:r w:rsidR="003661D2">
        <w:rPr>
          <w:rFonts w:ascii="Times" w:eastAsia="Times New Roman" w:hAnsi="Times" w:cs="Arial"/>
          <w:bCs/>
          <w:sz w:val="24"/>
          <w:szCs w:val="20"/>
          <w:lang w:eastAsia="pl-PL"/>
        </w:rPr>
        <w:t>Standard</w:t>
      </w:r>
      <w:r w:rsidR="00F53410">
        <w:rPr>
          <w:rFonts w:ascii="Times" w:eastAsia="Times New Roman" w:hAnsi="Times" w:cs="Arial"/>
          <w:bCs/>
          <w:sz w:val="24"/>
          <w:szCs w:val="20"/>
          <w:lang w:eastAsia="pl-PL"/>
        </w:rPr>
        <w:t>ów</w:t>
      </w:r>
      <w:r w:rsidRPr="00ED0C91">
        <w:rPr>
          <w:rFonts w:ascii="Times" w:eastAsia="Times New Roman" w:hAnsi="Times" w:cs="Arial"/>
          <w:bCs/>
          <w:sz w:val="24"/>
          <w:szCs w:val="20"/>
          <w:lang w:eastAsia="pl-PL"/>
        </w:rPr>
        <w:t xml:space="preserve"> </w:t>
      </w:r>
      <w:r w:rsidR="00F14395">
        <w:rPr>
          <w:rFonts w:ascii="Times" w:eastAsia="Times New Roman" w:hAnsi="Times" w:cs="Arial"/>
          <w:bCs/>
          <w:sz w:val="24"/>
          <w:szCs w:val="20"/>
          <w:lang w:eastAsia="pl-PL"/>
        </w:rPr>
        <w:t>Cyberb</w:t>
      </w:r>
      <w:r w:rsidRPr="00ED0C91">
        <w:rPr>
          <w:rFonts w:ascii="Times" w:eastAsia="Times New Roman" w:hAnsi="Times" w:cs="Arial"/>
          <w:bCs/>
          <w:sz w:val="24"/>
          <w:szCs w:val="20"/>
          <w:lang w:eastAsia="pl-PL"/>
        </w:rPr>
        <w:t xml:space="preserve">ezpieczeństwa </w:t>
      </w:r>
      <w:r w:rsidR="003661D2">
        <w:rPr>
          <w:rFonts w:ascii="Times" w:eastAsia="Times New Roman" w:hAnsi="Times" w:cs="Arial"/>
          <w:bCs/>
          <w:sz w:val="24"/>
          <w:szCs w:val="20"/>
          <w:lang w:eastAsia="pl-PL"/>
        </w:rPr>
        <w:t>Chmur Obliczeniowych</w:t>
      </w:r>
      <w:r w:rsidRPr="00ED0C91">
        <w:rPr>
          <w:rFonts w:ascii="Times" w:eastAsia="Times New Roman" w:hAnsi="Times" w:cs="Arial"/>
          <w:bCs/>
          <w:sz w:val="24"/>
          <w:szCs w:val="20"/>
          <w:lang w:eastAsia="pl-PL"/>
        </w:rPr>
        <w:t>.</w:t>
      </w:r>
    </w:p>
    <w:p w14:paraId="094B104F" w14:textId="77777777" w:rsidR="00ED0C91" w:rsidRPr="00ED0C91" w:rsidRDefault="00ED0C91" w:rsidP="00ED0C91">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2.</w:t>
      </w:r>
      <w:r w:rsidRPr="00ED0C91">
        <w:rPr>
          <w:rFonts w:ascii="Times" w:eastAsia="Times New Roman" w:hAnsi="Times" w:cs="Arial"/>
          <w:sz w:val="24"/>
          <w:szCs w:val="20"/>
          <w:lang w:eastAsia="pl-PL"/>
        </w:rPr>
        <w:t> Użyte w uchwale określenia oznaczają:</w:t>
      </w:r>
    </w:p>
    <w:p w14:paraId="1FBD4E7D"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Centrum Przetwarzania Danych (CPD)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serwerowni</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w za</w:t>
      </w:r>
      <w:r w:rsidR="006A6645">
        <w:rPr>
          <w:rFonts w:ascii="Times" w:eastAsia="Times New Roman" w:hAnsi="Times" w:cs="Arial"/>
          <w:bCs/>
          <w:sz w:val="24"/>
          <w:szCs w:val="20"/>
          <w:lang w:eastAsia="pl-PL"/>
        </w:rPr>
        <w:t xml:space="preserve">sobach administracji </w:t>
      </w:r>
      <w:r w:rsidR="00B754B5">
        <w:rPr>
          <w:rFonts w:ascii="Times" w:eastAsia="Times New Roman" w:hAnsi="Times" w:cs="Arial"/>
          <w:bCs/>
          <w:sz w:val="24"/>
          <w:szCs w:val="20"/>
          <w:lang w:eastAsia="pl-PL"/>
        </w:rPr>
        <w:t>rządowej</w:t>
      </w:r>
      <w:r w:rsidR="006A6645">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biekt budowlany wykorzystywany jako lokalizacja dla infrastruktury teleinformatycznej i związa</w:t>
      </w:r>
      <w:r w:rsidR="006A6645">
        <w:rPr>
          <w:rFonts w:ascii="Times" w:eastAsia="Times New Roman" w:hAnsi="Times" w:cs="Arial"/>
          <w:bCs/>
          <w:sz w:val="24"/>
          <w:szCs w:val="20"/>
          <w:lang w:eastAsia="pl-PL"/>
        </w:rPr>
        <w:t>nych z nią elementów</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np.: systemów telekomunikacyjnych, </w:t>
      </w:r>
      <w:r w:rsidR="006A6645">
        <w:rPr>
          <w:rFonts w:ascii="Times" w:eastAsia="Times New Roman" w:hAnsi="Times" w:cs="Arial"/>
          <w:bCs/>
          <w:sz w:val="24"/>
          <w:szCs w:val="20"/>
          <w:lang w:eastAsia="pl-PL"/>
        </w:rPr>
        <w:lastRenderedPageBreak/>
        <w:t>zasobów przetwarzania)</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wraz z</w:t>
      </w:r>
      <w:r w:rsidRPr="00ED0C91">
        <w:rPr>
          <w:rFonts w:ascii="Times" w:eastAsia="Times New Roman" w:hAnsi="Times" w:cs="Arial"/>
          <w:bCs/>
          <w:sz w:val="24"/>
          <w:szCs w:val="20"/>
          <w:lang w:eastAsia="pl-PL"/>
        </w:rPr>
        <w:t xml:space="preserve"> nadmiarow</w:t>
      </w:r>
      <w:r w:rsidR="006A6645">
        <w:rPr>
          <w:rFonts w:ascii="Times" w:eastAsia="Times New Roman" w:hAnsi="Times" w:cs="Arial"/>
          <w:bCs/>
          <w:sz w:val="24"/>
          <w:szCs w:val="20"/>
          <w:lang w:eastAsia="pl-PL"/>
        </w:rPr>
        <w:t>ymi</w:t>
      </w:r>
      <w:r w:rsidRPr="00ED0C91">
        <w:rPr>
          <w:rFonts w:ascii="Times" w:eastAsia="Times New Roman" w:hAnsi="Times" w:cs="Arial"/>
          <w:bCs/>
          <w:sz w:val="24"/>
          <w:szCs w:val="20"/>
          <w:lang w:eastAsia="pl-PL"/>
        </w:rPr>
        <w:t xml:space="preserve"> źródła</w:t>
      </w:r>
      <w:r w:rsidR="006A6645">
        <w:rPr>
          <w:rFonts w:ascii="Times" w:eastAsia="Times New Roman" w:hAnsi="Times" w:cs="Arial"/>
          <w:bCs/>
          <w:sz w:val="24"/>
          <w:szCs w:val="20"/>
          <w:lang w:eastAsia="pl-PL"/>
        </w:rPr>
        <w:t>mi</w:t>
      </w:r>
      <w:r w:rsidRPr="00ED0C91">
        <w:rPr>
          <w:rFonts w:ascii="Times" w:eastAsia="Times New Roman" w:hAnsi="Times" w:cs="Arial"/>
          <w:bCs/>
          <w:sz w:val="24"/>
          <w:szCs w:val="20"/>
          <w:lang w:eastAsia="pl-PL"/>
        </w:rPr>
        <w:t xml:space="preserve"> zasilania, dodatkow</w:t>
      </w:r>
      <w:r w:rsidR="006A6645">
        <w:rPr>
          <w:rFonts w:ascii="Times" w:eastAsia="Times New Roman" w:hAnsi="Times" w:cs="Arial"/>
          <w:bCs/>
          <w:sz w:val="24"/>
          <w:szCs w:val="20"/>
          <w:lang w:eastAsia="pl-PL"/>
        </w:rPr>
        <w:t>ymi</w:t>
      </w:r>
      <w:r w:rsidRPr="00ED0C91">
        <w:rPr>
          <w:rFonts w:ascii="Times" w:eastAsia="Times New Roman" w:hAnsi="Times" w:cs="Arial"/>
          <w:bCs/>
          <w:sz w:val="24"/>
          <w:szCs w:val="20"/>
          <w:lang w:eastAsia="pl-PL"/>
        </w:rPr>
        <w:t xml:space="preserve"> sieci teletransmisji, środk</w:t>
      </w:r>
      <w:r w:rsidR="006A6645">
        <w:rPr>
          <w:rFonts w:ascii="Times" w:eastAsia="Times New Roman" w:hAnsi="Times" w:cs="Arial"/>
          <w:bCs/>
          <w:sz w:val="24"/>
          <w:szCs w:val="20"/>
          <w:lang w:eastAsia="pl-PL"/>
        </w:rPr>
        <w:t>ami</w:t>
      </w:r>
      <w:r w:rsidRPr="00ED0C91">
        <w:rPr>
          <w:rFonts w:ascii="Times" w:eastAsia="Times New Roman" w:hAnsi="Times" w:cs="Arial"/>
          <w:bCs/>
          <w:sz w:val="24"/>
          <w:szCs w:val="20"/>
          <w:lang w:eastAsia="pl-PL"/>
        </w:rPr>
        <w:t xml:space="preserve"> kontroli środowiska (np. klimatyzacja, systemy gaśnicze), urządzenia</w:t>
      </w:r>
      <w:r w:rsidR="006A6645">
        <w:rPr>
          <w:rFonts w:ascii="Times" w:eastAsia="Times New Roman" w:hAnsi="Times" w:cs="Arial"/>
          <w:bCs/>
          <w:sz w:val="24"/>
          <w:szCs w:val="20"/>
          <w:lang w:eastAsia="pl-PL"/>
        </w:rPr>
        <w:t>mi</w:t>
      </w:r>
      <w:r w:rsidRPr="00ED0C91">
        <w:rPr>
          <w:rFonts w:ascii="Times" w:eastAsia="Times New Roman" w:hAnsi="Times" w:cs="Arial"/>
          <w:bCs/>
          <w:sz w:val="24"/>
          <w:szCs w:val="20"/>
          <w:lang w:eastAsia="pl-PL"/>
        </w:rPr>
        <w:t xml:space="preserve"> i system</w:t>
      </w:r>
      <w:r w:rsidR="006A6645">
        <w:rPr>
          <w:rFonts w:ascii="Times" w:eastAsia="Times New Roman" w:hAnsi="Times" w:cs="Arial"/>
          <w:bCs/>
          <w:sz w:val="24"/>
          <w:szCs w:val="20"/>
          <w:lang w:eastAsia="pl-PL"/>
        </w:rPr>
        <w:t>ami</w:t>
      </w:r>
      <w:r w:rsidRPr="00ED0C91">
        <w:rPr>
          <w:rFonts w:ascii="Times" w:eastAsia="Times New Roman" w:hAnsi="Times" w:cs="Arial"/>
          <w:bCs/>
          <w:sz w:val="24"/>
          <w:szCs w:val="20"/>
          <w:lang w:eastAsia="pl-PL"/>
        </w:rPr>
        <w:t xml:space="preserve"> bezpieczeństwa oraz ochron</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fizyczną obiektu;</w:t>
      </w:r>
    </w:p>
    <w:p w14:paraId="3C78D632"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 xml:space="preserve">chmura hybrydowa – </w:t>
      </w:r>
      <w:r w:rsidR="006A6645">
        <w:rPr>
          <w:rFonts w:ascii="Times" w:eastAsia="Times New Roman" w:hAnsi="Times" w:cs="Arial"/>
          <w:bCs/>
          <w:sz w:val="24"/>
          <w:szCs w:val="20"/>
          <w:lang w:eastAsia="pl-PL"/>
        </w:rPr>
        <w:t>chmurę, której infrastruktura składa</w:t>
      </w:r>
      <w:r w:rsidRPr="00ED0C91">
        <w:rPr>
          <w:rFonts w:ascii="Times" w:eastAsia="Times New Roman" w:hAnsi="Times" w:cs="Arial"/>
          <w:bCs/>
          <w:sz w:val="24"/>
          <w:szCs w:val="20"/>
          <w:lang w:eastAsia="pl-PL"/>
        </w:rPr>
        <w:t xml:space="preserve"> się z dwóch lub więcej odrębnych infrastruktur teleinformatycznych dostarczanych z chmury obliczeniowej (prywatnej, społecznościowej lub publicznej), które pozostają odrębnymi jednostkami, ale są powiązane ze sobą znormalizowaną lub zastrzeżoną technologią, umożliwiającą przenoszenie danych i aplikacji pomiędzy chmurami obliczeniowymi (np. w celu równoważenia obciążenia);</w:t>
      </w:r>
    </w:p>
    <w:p w14:paraId="02BE0C44"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 xml:space="preserve">chmura obliczeniowa – </w:t>
      </w:r>
      <w:r w:rsidR="006A6645">
        <w:rPr>
          <w:rFonts w:ascii="Times" w:eastAsia="Times New Roman" w:hAnsi="Times" w:cs="Arial"/>
          <w:bCs/>
          <w:sz w:val="24"/>
          <w:szCs w:val="20"/>
          <w:lang w:eastAsia="pl-PL"/>
        </w:rPr>
        <w:t>chmurę, której</w:t>
      </w:r>
      <w:r w:rsidRPr="00ED0C91">
        <w:rPr>
          <w:rFonts w:ascii="Times" w:eastAsia="Times New Roman" w:hAnsi="Times" w:cs="Arial"/>
          <w:bCs/>
          <w:sz w:val="24"/>
          <w:szCs w:val="20"/>
          <w:lang w:eastAsia="pl-PL"/>
        </w:rPr>
        <w:t xml:space="preserve"> m</w:t>
      </w:r>
      <w:r w:rsidR="006A6645">
        <w:rPr>
          <w:rFonts w:ascii="Times" w:eastAsia="Times New Roman" w:hAnsi="Times" w:cs="Arial"/>
          <w:bCs/>
          <w:sz w:val="24"/>
          <w:szCs w:val="20"/>
          <w:lang w:eastAsia="pl-PL"/>
        </w:rPr>
        <w:t>odel przetwarzania umożliwia</w:t>
      </w:r>
      <w:r w:rsidRPr="00ED0C91">
        <w:rPr>
          <w:rFonts w:ascii="Times" w:eastAsia="Times New Roman" w:hAnsi="Times" w:cs="Arial"/>
          <w:bCs/>
          <w:sz w:val="24"/>
          <w:szCs w:val="20"/>
          <w:lang w:eastAsia="pl-PL"/>
        </w:rPr>
        <w:t xml:space="preserve"> powszechny </w:t>
      </w:r>
      <w:r w:rsidR="00A16DDF">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wygodny dostęp za pośrednictwem sieci do wspólnej puli konfigurowalnych zasobów przetwarzania (np. sieci, serwery, pamięci masowe, aplikacje i usługi), które mogą być szybko udostępniane przy minimalnym wysiłku ze strony zespołów zarządzania lub dostawcy usług. Chmura obliczeniowa dostarcza usług w modelu chmurowym, który promuje dostępność i składa się z pięciu podstawowych cech przetwarzania (model samoobsługowy, dostęp do sieci, pule zasobów, elastyczność, rozliczanie usług); trzy modele usług (SaaS, PaaS, IaaS); oraz cztery modele wdrażania (chmura prywatna, chmura społecznościowa, chmura publiczna, chmura hybrydowa); kluczowe technologie wspomagające obejmują: szybkie i wydajne sieci rozległe, wydajne oraz relatywnie niedrogie serwery (uwzględniając ich liczbę) oraz wysokowydajną wirtualizację sprzętu;</w:t>
      </w:r>
    </w:p>
    <w:p w14:paraId="4FE946D9"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 xml:space="preserve">chmura prywatna – </w:t>
      </w:r>
      <w:r w:rsidR="006A6645">
        <w:rPr>
          <w:rFonts w:ascii="Times" w:eastAsia="Times New Roman" w:hAnsi="Times" w:cs="Arial"/>
          <w:bCs/>
          <w:sz w:val="24"/>
          <w:szCs w:val="20"/>
          <w:lang w:eastAsia="pl-PL"/>
        </w:rPr>
        <w:t>chmurę, której</w:t>
      </w:r>
      <w:r w:rsidRPr="00ED0C91">
        <w:rPr>
          <w:rFonts w:ascii="Times" w:eastAsia="Times New Roman" w:hAnsi="Times" w:cs="Arial"/>
          <w:bCs/>
          <w:sz w:val="24"/>
          <w:szCs w:val="20"/>
          <w:lang w:eastAsia="pl-PL"/>
        </w:rPr>
        <w:t xml:space="preserve"> infrastruktura </w:t>
      </w:r>
      <w:r w:rsidR="006A6645">
        <w:rPr>
          <w:rFonts w:ascii="Times" w:eastAsia="Times New Roman" w:hAnsi="Times" w:cs="Arial"/>
          <w:bCs/>
          <w:sz w:val="24"/>
          <w:szCs w:val="20"/>
          <w:lang w:eastAsia="pl-PL"/>
        </w:rPr>
        <w:t>jest</w:t>
      </w:r>
      <w:r w:rsidRPr="00ED0C91">
        <w:rPr>
          <w:rFonts w:ascii="Times" w:eastAsia="Times New Roman" w:hAnsi="Times" w:cs="Arial"/>
          <w:bCs/>
          <w:sz w:val="24"/>
          <w:szCs w:val="20"/>
          <w:lang w:eastAsia="pl-PL"/>
        </w:rPr>
        <w:t xml:space="preserve"> udostępniana do wyłącznego użytku przez jedną organizację obejmującą wielu </w:t>
      </w:r>
      <w:r w:rsidR="006A6645">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dbiorców usług i może być własnością, być zarządzana i obsługiwana przez organizację lub stronę trzecią lub ich kombinację oraz może być zainstalowana w siedzibie organizacji lub poza nią;</w:t>
      </w:r>
    </w:p>
    <w:p w14:paraId="434FCAE0" w14:textId="77777777" w:rsid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chmura publiczna –</w:t>
      </w:r>
      <w:r w:rsidR="006A6645">
        <w:rPr>
          <w:rFonts w:ascii="Times" w:eastAsia="Times New Roman" w:hAnsi="Times" w:cs="Arial"/>
          <w:bCs/>
          <w:sz w:val="24"/>
          <w:szCs w:val="20"/>
          <w:lang w:eastAsia="pl-PL"/>
        </w:rPr>
        <w:t xml:space="preserve"> chmurę, której</w:t>
      </w:r>
      <w:r w:rsidRPr="00ED0C91">
        <w:rPr>
          <w:rFonts w:ascii="Times" w:eastAsia="Times New Roman" w:hAnsi="Times" w:cs="Arial"/>
          <w:bCs/>
          <w:sz w:val="24"/>
          <w:szCs w:val="20"/>
          <w:lang w:eastAsia="pl-PL"/>
        </w:rPr>
        <w:t xml:space="preserve"> infrastruktura jest udostępniana do użytku publicznego i może być własnością, być zarządzana i obsługiwana przez organizację biznesową, akademicką lub rządową lub ich kombinację oraz jest zainstalowana w siedzibie dostawcy chmury;</w:t>
      </w:r>
    </w:p>
    <w:p w14:paraId="6726CE43" w14:textId="50462C8E" w:rsidR="003B67B6" w:rsidRPr="00ED0C91" w:rsidRDefault="006E368D"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6)</w:t>
      </w:r>
      <w:r>
        <w:rPr>
          <w:rFonts w:ascii="Times" w:eastAsia="Times New Roman" w:hAnsi="Times" w:cs="Arial"/>
          <w:bCs/>
          <w:sz w:val="24"/>
          <w:szCs w:val="20"/>
          <w:lang w:eastAsia="pl-PL"/>
        </w:rPr>
        <w:tab/>
        <w:t>c</w:t>
      </w:r>
      <w:r w:rsidR="003B67B6">
        <w:rPr>
          <w:rFonts w:ascii="Times" w:eastAsia="Times New Roman" w:hAnsi="Times" w:cs="Arial"/>
          <w:bCs/>
          <w:sz w:val="24"/>
          <w:szCs w:val="20"/>
          <w:lang w:eastAsia="pl-PL"/>
        </w:rPr>
        <w:t xml:space="preserve">hmura wspólnotowa </w:t>
      </w:r>
      <w:r w:rsidR="00335370">
        <w:rPr>
          <w:rFonts w:ascii="Times" w:eastAsia="Times New Roman" w:hAnsi="Times" w:cs="Arial"/>
          <w:bCs/>
          <w:sz w:val="24"/>
          <w:szCs w:val="20"/>
          <w:lang w:eastAsia="pl-PL"/>
        </w:rPr>
        <w:t>–</w:t>
      </w:r>
      <w:r w:rsidR="003B67B6">
        <w:rPr>
          <w:rFonts w:ascii="Times" w:eastAsia="Times New Roman" w:hAnsi="Times" w:cs="Arial"/>
          <w:bCs/>
          <w:sz w:val="24"/>
          <w:szCs w:val="20"/>
          <w:lang w:eastAsia="pl-PL"/>
        </w:rPr>
        <w:t xml:space="preserve"> </w:t>
      </w:r>
      <w:r w:rsidRPr="006E368D">
        <w:rPr>
          <w:rFonts w:ascii="Times" w:eastAsia="Times New Roman" w:hAnsi="Times" w:cs="Arial"/>
          <w:bCs/>
          <w:sz w:val="24"/>
          <w:szCs w:val="20"/>
          <w:lang w:eastAsia="pl-PL"/>
        </w:rPr>
        <w:t>chmur</w:t>
      </w:r>
      <w:r w:rsidR="00206776">
        <w:rPr>
          <w:rFonts w:ascii="Times" w:eastAsia="Times New Roman" w:hAnsi="Times" w:cs="Arial"/>
          <w:bCs/>
          <w:sz w:val="24"/>
          <w:szCs w:val="20"/>
          <w:lang w:eastAsia="pl-PL"/>
        </w:rPr>
        <w:t>ę</w:t>
      </w:r>
      <w:r w:rsidR="00335370">
        <w:rPr>
          <w:rFonts w:ascii="Times" w:eastAsia="Times New Roman" w:hAnsi="Times" w:cs="Arial"/>
          <w:bCs/>
          <w:sz w:val="24"/>
          <w:szCs w:val="20"/>
          <w:lang w:eastAsia="pl-PL"/>
        </w:rPr>
        <w:t xml:space="preserve"> prywatn</w:t>
      </w:r>
      <w:r w:rsidR="00206776">
        <w:rPr>
          <w:rFonts w:ascii="Times" w:eastAsia="Times New Roman" w:hAnsi="Times" w:cs="Arial"/>
          <w:bCs/>
          <w:sz w:val="24"/>
          <w:szCs w:val="20"/>
          <w:lang w:eastAsia="pl-PL"/>
        </w:rPr>
        <w:t>ą</w:t>
      </w:r>
      <w:r w:rsidRPr="006E368D">
        <w:rPr>
          <w:rFonts w:ascii="Times" w:eastAsia="Times New Roman" w:hAnsi="Times" w:cs="Arial"/>
          <w:bCs/>
          <w:sz w:val="24"/>
          <w:szCs w:val="20"/>
          <w:lang w:eastAsia="pl-PL"/>
        </w:rPr>
        <w:t>, której infrastruktura jest przeznaczona do wyłącznego użytku przez określoną grupę organizacji</w:t>
      </w:r>
      <w:r w:rsidR="00206776">
        <w:rPr>
          <w:rFonts w:ascii="Times" w:eastAsia="Times New Roman" w:hAnsi="Times" w:cs="Arial"/>
          <w:bCs/>
          <w:sz w:val="24"/>
          <w:szCs w:val="20"/>
          <w:lang w:eastAsia="pl-PL"/>
        </w:rPr>
        <w:t>.</w:t>
      </w:r>
      <w:r w:rsidRPr="006E368D">
        <w:rPr>
          <w:rFonts w:ascii="Times" w:eastAsia="Times New Roman" w:hAnsi="Times" w:cs="Arial"/>
          <w:bCs/>
          <w:sz w:val="24"/>
          <w:szCs w:val="20"/>
          <w:lang w:eastAsia="pl-PL"/>
        </w:rPr>
        <w:t xml:space="preserve"> Może być własnością, być zarządzana i obsługiwana przez jedną lub więcej organizacji wchodzącej w skład grupy, osobę trzecią lub ich ko</w:t>
      </w:r>
      <w:r>
        <w:rPr>
          <w:rFonts w:ascii="Times" w:eastAsia="Times New Roman" w:hAnsi="Times" w:cs="Arial"/>
          <w:bCs/>
          <w:sz w:val="24"/>
          <w:szCs w:val="20"/>
          <w:lang w:eastAsia="pl-PL"/>
        </w:rPr>
        <w:t>mbinację i jest zainstalowana w </w:t>
      </w:r>
      <w:r w:rsidRPr="006E368D">
        <w:rPr>
          <w:rFonts w:ascii="Times" w:eastAsia="Times New Roman" w:hAnsi="Times" w:cs="Arial"/>
          <w:bCs/>
          <w:sz w:val="24"/>
          <w:szCs w:val="20"/>
          <w:lang w:eastAsia="pl-PL"/>
        </w:rPr>
        <w:t>siedzibie organizacji lub poza nią</w:t>
      </w:r>
      <w:r>
        <w:rPr>
          <w:rFonts w:ascii="Times" w:eastAsia="Times New Roman" w:hAnsi="Times" w:cs="Arial"/>
          <w:bCs/>
          <w:sz w:val="24"/>
          <w:szCs w:val="20"/>
          <w:lang w:eastAsia="pl-PL"/>
        </w:rPr>
        <w:t>;</w:t>
      </w:r>
    </w:p>
    <w:p w14:paraId="56C3C6D7" w14:textId="77777777" w:rsidR="00ED0C91" w:rsidRPr="00ED0C91" w:rsidRDefault="006E368D"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7</w:t>
      </w:r>
      <w:r w:rsidR="00ED0C91" w:rsidRPr="00ED0C91">
        <w:rPr>
          <w:rFonts w:ascii="Times" w:eastAsia="Times New Roman" w:hAnsi="Times" w:cs="Arial"/>
          <w:bCs/>
          <w:sz w:val="24"/>
          <w:szCs w:val="20"/>
          <w:lang w:eastAsia="pl-PL"/>
        </w:rPr>
        <w:t>)</w:t>
      </w:r>
      <w:r w:rsidR="00ED0C91" w:rsidRPr="00ED0C91">
        <w:rPr>
          <w:rFonts w:ascii="Times" w:eastAsia="Times New Roman" w:hAnsi="Times" w:cs="Arial"/>
          <w:bCs/>
          <w:sz w:val="24"/>
          <w:szCs w:val="20"/>
          <w:lang w:eastAsia="pl-PL"/>
        </w:rPr>
        <w:tab/>
        <w:t xml:space="preserve">infrastruktura chmury – zasoby przetwarzania, stanowiące zbiór sprzętu </w:t>
      </w:r>
      <w:r w:rsidR="00A16DDF">
        <w:rPr>
          <w:rFonts w:ascii="Times" w:eastAsia="Times New Roman" w:hAnsi="Times" w:cs="Arial"/>
          <w:bCs/>
          <w:sz w:val="24"/>
          <w:szCs w:val="20"/>
          <w:lang w:eastAsia="pl-PL"/>
        </w:rPr>
        <w:br/>
      </w:r>
      <w:r w:rsidR="00ED0C91" w:rsidRPr="00ED0C91">
        <w:rPr>
          <w:rFonts w:ascii="Times" w:eastAsia="Times New Roman" w:hAnsi="Times" w:cs="Arial"/>
          <w:bCs/>
          <w:sz w:val="24"/>
          <w:szCs w:val="20"/>
          <w:lang w:eastAsia="pl-PL"/>
        </w:rPr>
        <w:t xml:space="preserve">i oprogramowania zgrupowanego w pule zasobów, który umożliwia spełnienie pięciu </w:t>
      </w:r>
      <w:r w:rsidR="00ED0C91" w:rsidRPr="00ED0C91">
        <w:rPr>
          <w:rFonts w:ascii="Times" w:eastAsia="Times New Roman" w:hAnsi="Times" w:cs="Arial"/>
          <w:bCs/>
          <w:sz w:val="24"/>
          <w:szCs w:val="20"/>
          <w:lang w:eastAsia="pl-PL"/>
        </w:rPr>
        <w:lastRenderedPageBreak/>
        <w:t>podstawowych cech przetwarzania w chmurze); infrastrukturę chmury można postrzegać jako zawierającą zarówno warstwę fizyczną, jak i warstwę abstrakcji; warstwa fizyczna składa się z zasobów sprzętowych, które są niezbędne do obsługi dostarczanych usług w chmurze i zazwyczaj obejmują składniki serwera, pamięci masowej i sieci; warstwa abstrakcji składa się z oprogramowania rozmieszczonego w warstwie fizycznej, która przejawia istotne cechy chmury; koncepcyjnie warstwa abstrakcji znajduje się powyżej warstwy fizycznej;</w:t>
      </w:r>
    </w:p>
    <w:p w14:paraId="2FB01287" w14:textId="77777777" w:rsidR="00ED0C91" w:rsidRPr="00ED0C91" w:rsidRDefault="006E368D"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8</w:t>
      </w:r>
      <w:r w:rsidR="00ED0C91" w:rsidRPr="00ED0C91">
        <w:rPr>
          <w:rFonts w:ascii="Times" w:eastAsia="Times New Roman" w:hAnsi="Times" w:cs="Arial"/>
          <w:bCs/>
          <w:sz w:val="24"/>
          <w:szCs w:val="20"/>
          <w:lang w:eastAsia="pl-PL"/>
        </w:rPr>
        <w:t>)</w:t>
      </w:r>
      <w:r w:rsidR="00ED0C91" w:rsidRPr="00ED0C91">
        <w:rPr>
          <w:rFonts w:ascii="Times" w:eastAsia="Times New Roman" w:hAnsi="Times" w:cs="Arial"/>
          <w:bCs/>
          <w:sz w:val="24"/>
          <w:szCs w:val="20"/>
          <w:lang w:eastAsia="pl-PL"/>
        </w:rPr>
        <w:tab/>
        <w:t>infrastruktura jako usługa (IaaS) –</w:t>
      </w:r>
      <w:r w:rsidR="006A6645">
        <w:rPr>
          <w:rFonts w:ascii="Times" w:eastAsia="Times New Roman" w:hAnsi="Times" w:cs="Arial"/>
          <w:bCs/>
          <w:sz w:val="24"/>
          <w:szCs w:val="20"/>
          <w:lang w:eastAsia="pl-PL"/>
        </w:rPr>
        <w:t xml:space="preserve"> </w:t>
      </w:r>
      <w:r w:rsidR="00ED0C91" w:rsidRPr="00ED0C91">
        <w:rPr>
          <w:rFonts w:ascii="Times" w:eastAsia="Times New Roman" w:hAnsi="Times" w:cs="Arial"/>
          <w:bCs/>
          <w:sz w:val="24"/>
          <w:szCs w:val="20"/>
          <w:lang w:eastAsia="pl-PL"/>
        </w:rPr>
        <w:t>usług</w:t>
      </w:r>
      <w:r w:rsidR="006A6645">
        <w:rPr>
          <w:rFonts w:ascii="Times" w:eastAsia="Times New Roman" w:hAnsi="Times" w:cs="Arial"/>
          <w:bCs/>
          <w:sz w:val="24"/>
          <w:szCs w:val="20"/>
          <w:lang w:eastAsia="pl-PL"/>
        </w:rPr>
        <w:t>ę</w:t>
      </w:r>
      <w:r w:rsidR="00ED0C91" w:rsidRPr="00ED0C91">
        <w:rPr>
          <w:rFonts w:ascii="Times" w:eastAsia="Times New Roman" w:hAnsi="Times" w:cs="Arial"/>
          <w:bCs/>
          <w:sz w:val="24"/>
          <w:szCs w:val="20"/>
          <w:lang w:eastAsia="pl-PL"/>
        </w:rPr>
        <w:t xml:space="preserve"> świadczon</w:t>
      </w:r>
      <w:r w:rsidR="006A6645">
        <w:rPr>
          <w:rFonts w:ascii="Times" w:eastAsia="Times New Roman" w:hAnsi="Times" w:cs="Arial"/>
          <w:bCs/>
          <w:sz w:val="24"/>
          <w:szCs w:val="20"/>
          <w:lang w:eastAsia="pl-PL"/>
        </w:rPr>
        <w:t>ą</w:t>
      </w:r>
      <w:r w:rsidR="00ED0C91" w:rsidRPr="00ED0C91">
        <w:rPr>
          <w:rFonts w:ascii="Times" w:eastAsia="Times New Roman" w:hAnsi="Times" w:cs="Arial"/>
          <w:bCs/>
          <w:sz w:val="24"/>
          <w:szCs w:val="20"/>
          <w:lang w:eastAsia="pl-PL"/>
        </w:rPr>
        <w:t xml:space="preserve"> w modelu chmurowym zapewniając</w:t>
      </w:r>
      <w:r w:rsidR="006A6645">
        <w:rPr>
          <w:rFonts w:ascii="Times" w:eastAsia="Times New Roman" w:hAnsi="Times" w:cs="Arial"/>
          <w:bCs/>
          <w:sz w:val="24"/>
          <w:szCs w:val="20"/>
          <w:lang w:eastAsia="pl-PL"/>
        </w:rPr>
        <w:t>ą</w:t>
      </w:r>
      <w:r w:rsidR="00ED0C91" w:rsidRPr="00ED0C91">
        <w:rPr>
          <w:rFonts w:ascii="Times" w:eastAsia="Times New Roman" w:hAnsi="Times" w:cs="Arial"/>
          <w:bCs/>
          <w:sz w:val="24"/>
          <w:szCs w:val="20"/>
          <w:lang w:eastAsia="pl-PL"/>
        </w:rPr>
        <w:t xml:space="preserve"> infrastrukturę chmury, na których </w:t>
      </w:r>
      <w:r w:rsidR="00C7425B">
        <w:rPr>
          <w:rFonts w:ascii="Times" w:eastAsia="Times New Roman" w:hAnsi="Times" w:cs="Arial"/>
          <w:bCs/>
          <w:sz w:val="24"/>
          <w:szCs w:val="20"/>
          <w:lang w:eastAsia="pl-PL"/>
        </w:rPr>
        <w:t>o</w:t>
      </w:r>
      <w:r w:rsidR="00ED0C91" w:rsidRPr="00ED0C91">
        <w:rPr>
          <w:rFonts w:ascii="Times" w:eastAsia="Times New Roman" w:hAnsi="Times" w:cs="Arial"/>
          <w:bCs/>
          <w:sz w:val="24"/>
          <w:szCs w:val="20"/>
          <w:lang w:eastAsia="pl-PL"/>
        </w:rPr>
        <w:t xml:space="preserve">dbiorca usług jest w stanie wdrożyć </w:t>
      </w:r>
      <w:r w:rsidR="0050692C">
        <w:rPr>
          <w:rFonts w:ascii="Times" w:eastAsia="Times New Roman" w:hAnsi="Times" w:cs="Arial"/>
          <w:bCs/>
          <w:sz w:val="24"/>
          <w:szCs w:val="20"/>
          <w:lang w:eastAsia="pl-PL"/>
        </w:rPr>
        <w:br/>
      </w:r>
      <w:r w:rsidR="00ED0C91" w:rsidRPr="00ED0C91">
        <w:rPr>
          <w:rFonts w:ascii="Times" w:eastAsia="Times New Roman" w:hAnsi="Times" w:cs="Arial"/>
          <w:bCs/>
          <w:sz w:val="24"/>
          <w:szCs w:val="20"/>
          <w:lang w:eastAsia="pl-PL"/>
        </w:rPr>
        <w:t>i uruchomić dowolne oprogramowanie (systemy operacyjne i aplikacje); odbiorca usług nie zarządza ani nie kontroluje podstawowej infrastruktury chmury, ale ma kontrolę nad systemami operacyjnymi, pamięcią masową i wdrożonymi aplikacjami oraz ewentualnie ograniczoną kontrolę wybranych komponentów sieciowych (np. firewall);</w:t>
      </w:r>
    </w:p>
    <w:p w14:paraId="10C39884" w14:textId="77777777" w:rsidR="00ED0C91" w:rsidRPr="00ED0C91" w:rsidRDefault="006E368D"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9</w:t>
      </w:r>
      <w:r w:rsidR="00ED0C91" w:rsidRPr="00ED0C91">
        <w:rPr>
          <w:rFonts w:ascii="Times" w:eastAsia="Times New Roman" w:hAnsi="Times" w:cs="Arial"/>
          <w:bCs/>
          <w:sz w:val="24"/>
          <w:szCs w:val="20"/>
          <w:lang w:eastAsia="pl-PL"/>
        </w:rPr>
        <w:t>)</w:t>
      </w:r>
      <w:r w:rsidR="00ED0C91" w:rsidRPr="00ED0C91">
        <w:rPr>
          <w:rFonts w:ascii="Times" w:eastAsia="Times New Roman" w:hAnsi="Times" w:cs="Arial"/>
          <w:bCs/>
          <w:sz w:val="24"/>
          <w:szCs w:val="20"/>
          <w:lang w:eastAsia="pl-PL"/>
        </w:rPr>
        <w:tab/>
        <w:t>platforma jako usługa (PaaS) –</w:t>
      </w:r>
      <w:r w:rsidR="006A6645">
        <w:rPr>
          <w:rFonts w:ascii="Times" w:eastAsia="Times New Roman" w:hAnsi="Times" w:cs="Arial"/>
          <w:bCs/>
          <w:sz w:val="24"/>
          <w:szCs w:val="20"/>
          <w:lang w:eastAsia="pl-PL"/>
        </w:rPr>
        <w:t xml:space="preserve"> </w:t>
      </w:r>
      <w:r w:rsidR="00ED0C91" w:rsidRPr="00ED0C91">
        <w:rPr>
          <w:rFonts w:ascii="Times" w:eastAsia="Times New Roman" w:hAnsi="Times" w:cs="Arial"/>
          <w:bCs/>
          <w:sz w:val="24"/>
          <w:szCs w:val="20"/>
          <w:lang w:eastAsia="pl-PL"/>
        </w:rPr>
        <w:t>usług</w:t>
      </w:r>
      <w:r w:rsidR="006A6645">
        <w:rPr>
          <w:rFonts w:ascii="Times" w:eastAsia="Times New Roman" w:hAnsi="Times" w:cs="Arial"/>
          <w:bCs/>
          <w:sz w:val="24"/>
          <w:szCs w:val="20"/>
          <w:lang w:eastAsia="pl-PL"/>
        </w:rPr>
        <w:t>ę</w:t>
      </w:r>
      <w:r w:rsidR="00ED0C91" w:rsidRPr="00ED0C91">
        <w:rPr>
          <w:rFonts w:ascii="Times" w:eastAsia="Times New Roman" w:hAnsi="Times" w:cs="Arial"/>
          <w:bCs/>
          <w:sz w:val="24"/>
          <w:szCs w:val="20"/>
          <w:lang w:eastAsia="pl-PL"/>
        </w:rPr>
        <w:t xml:space="preserve"> umożliwiając</w:t>
      </w:r>
      <w:r w:rsidR="006A6645">
        <w:rPr>
          <w:rFonts w:ascii="Times" w:eastAsia="Times New Roman" w:hAnsi="Times" w:cs="Arial"/>
          <w:bCs/>
          <w:sz w:val="24"/>
          <w:szCs w:val="20"/>
          <w:lang w:eastAsia="pl-PL"/>
        </w:rPr>
        <w:t>ą</w:t>
      </w:r>
      <w:r w:rsidR="00C7425B">
        <w:rPr>
          <w:rFonts w:ascii="Times" w:eastAsia="Times New Roman" w:hAnsi="Times" w:cs="Arial"/>
          <w:bCs/>
          <w:sz w:val="24"/>
          <w:szCs w:val="20"/>
          <w:lang w:eastAsia="pl-PL"/>
        </w:rPr>
        <w:t xml:space="preserve"> o</w:t>
      </w:r>
      <w:r w:rsidR="00ED0C91" w:rsidRPr="00ED0C91">
        <w:rPr>
          <w:rFonts w:ascii="Times" w:eastAsia="Times New Roman" w:hAnsi="Times" w:cs="Arial"/>
          <w:bCs/>
          <w:sz w:val="24"/>
          <w:szCs w:val="20"/>
          <w:lang w:eastAsia="pl-PL"/>
        </w:rPr>
        <w:t>dbiorcy usług wdrożenie na infrastrukturze chmury aplikacji utworzonych przez siebie lub nabytych, które zostały przygotowane przy użyciu języków programowania, bibliotek, usług i narzędzi obsługiwanych przez dos</w:t>
      </w:r>
      <w:r w:rsidR="00C7425B">
        <w:rPr>
          <w:rFonts w:ascii="Times" w:eastAsia="Times New Roman" w:hAnsi="Times" w:cs="Arial"/>
          <w:bCs/>
          <w:sz w:val="24"/>
          <w:szCs w:val="20"/>
          <w:lang w:eastAsia="pl-PL"/>
        </w:rPr>
        <w:t>tawcę; o</w:t>
      </w:r>
      <w:r w:rsidR="00ED0C91" w:rsidRPr="00ED0C91">
        <w:rPr>
          <w:rFonts w:ascii="Times" w:eastAsia="Times New Roman" w:hAnsi="Times" w:cs="Arial"/>
          <w:bCs/>
          <w:sz w:val="24"/>
          <w:szCs w:val="20"/>
          <w:lang w:eastAsia="pl-PL"/>
        </w:rPr>
        <w:t>dbiorca usług nie zarządza ani nie kontroluje infrastruktury chmury, w tym sieci, serwerów, systemów operacyjnych oraz pamięci masowych, ale ma kontrolę nad wdrożonymi aplikacjami i ewentualnie ustawieniami konfiguracji dla środowiska hostingu aplikacji;</w:t>
      </w:r>
    </w:p>
    <w:p w14:paraId="3ABEC0C4" w14:textId="77777777" w:rsidR="00ED0C91" w:rsidRDefault="006E368D"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10</w:t>
      </w:r>
      <w:r w:rsidR="00ED0C91" w:rsidRPr="00ED0C91">
        <w:rPr>
          <w:rFonts w:ascii="Times" w:eastAsia="Times New Roman" w:hAnsi="Times" w:cs="Arial"/>
          <w:bCs/>
          <w:sz w:val="24"/>
          <w:szCs w:val="20"/>
          <w:lang w:eastAsia="pl-PL"/>
        </w:rPr>
        <w:t>)</w:t>
      </w:r>
      <w:r w:rsidR="00ED0C91" w:rsidRPr="00ED0C91">
        <w:rPr>
          <w:rFonts w:ascii="Times" w:eastAsia="Times New Roman" w:hAnsi="Times" w:cs="Arial"/>
          <w:bCs/>
          <w:sz w:val="24"/>
          <w:szCs w:val="20"/>
          <w:lang w:eastAsia="pl-PL"/>
        </w:rPr>
        <w:tab/>
        <w:t>oprog</w:t>
      </w:r>
      <w:r w:rsidR="00185C3C">
        <w:rPr>
          <w:rFonts w:ascii="Times" w:eastAsia="Times New Roman" w:hAnsi="Times" w:cs="Arial"/>
          <w:bCs/>
          <w:sz w:val="24"/>
          <w:szCs w:val="20"/>
          <w:lang w:eastAsia="pl-PL"/>
        </w:rPr>
        <w:t>ramowanie jako usługa (SaaS) –</w:t>
      </w:r>
      <w:r w:rsidR="00ED0C91" w:rsidRPr="00ED0C91">
        <w:rPr>
          <w:rFonts w:ascii="Times" w:eastAsia="Times New Roman" w:hAnsi="Times" w:cs="Arial"/>
          <w:bCs/>
          <w:sz w:val="24"/>
          <w:szCs w:val="20"/>
          <w:lang w:eastAsia="pl-PL"/>
        </w:rPr>
        <w:t xml:space="preserve"> usług</w:t>
      </w:r>
      <w:r w:rsidR="00185C3C">
        <w:rPr>
          <w:rFonts w:ascii="Times" w:eastAsia="Times New Roman" w:hAnsi="Times" w:cs="Arial"/>
          <w:bCs/>
          <w:sz w:val="24"/>
          <w:szCs w:val="20"/>
          <w:lang w:eastAsia="pl-PL"/>
        </w:rPr>
        <w:t>ę</w:t>
      </w:r>
      <w:r w:rsidR="00ED0C91" w:rsidRPr="00ED0C91">
        <w:rPr>
          <w:rFonts w:ascii="Times" w:eastAsia="Times New Roman" w:hAnsi="Times" w:cs="Arial"/>
          <w:bCs/>
          <w:sz w:val="24"/>
          <w:szCs w:val="20"/>
          <w:lang w:eastAsia="pl-PL"/>
        </w:rPr>
        <w:t xml:space="preserve"> umożliwiając</w:t>
      </w:r>
      <w:r w:rsidR="00C7425B">
        <w:rPr>
          <w:rFonts w:ascii="Times" w:eastAsia="Times New Roman" w:hAnsi="Times" w:cs="Arial"/>
          <w:bCs/>
          <w:sz w:val="24"/>
          <w:szCs w:val="20"/>
          <w:lang w:eastAsia="pl-PL"/>
        </w:rPr>
        <w:t>ą</w:t>
      </w:r>
      <w:r w:rsidR="00ED0C91" w:rsidRPr="00ED0C91">
        <w:rPr>
          <w:rFonts w:ascii="Times" w:eastAsia="Times New Roman" w:hAnsi="Times" w:cs="Arial"/>
          <w:bCs/>
          <w:sz w:val="24"/>
          <w:szCs w:val="20"/>
          <w:lang w:eastAsia="pl-PL"/>
        </w:rPr>
        <w:t xml:space="preserve"> </w:t>
      </w:r>
      <w:r w:rsidR="00C7425B">
        <w:rPr>
          <w:rFonts w:ascii="Times" w:eastAsia="Times New Roman" w:hAnsi="Times" w:cs="Arial"/>
          <w:bCs/>
          <w:sz w:val="24"/>
          <w:szCs w:val="20"/>
          <w:lang w:eastAsia="pl-PL"/>
        </w:rPr>
        <w:t>o</w:t>
      </w:r>
      <w:r w:rsidR="00ED0C91" w:rsidRPr="00ED0C91">
        <w:rPr>
          <w:rFonts w:ascii="Times" w:eastAsia="Times New Roman" w:hAnsi="Times" w:cs="Arial"/>
          <w:bCs/>
          <w:sz w:val="24"/>
          <w:szCs w:val="20"/>
          <w:lang w:eastAsia="pl-PL"/>
        </w:rPr>
        <w:t>dbiorcy usług wykorzystanie aplikacji uruchomionej na infrastrukturze chmury dostarczanej przez dostawcę usług; aplikacje są dostępne na różnych urządzeniach klienckich za pośrednictwem cienkiego klienta, takiego jak przeglądarka internetowa (np. poczta elektroniczna) lub klienta aplikacji; odbiorca usług nie zarządza ani nie kontroluje infrastruktury chmury, w tym sieci, serwerów, systemów operacyjnych, pamięci masowej, a nawet parametrów konfiguracyjnych aplikacji, z wyjątkiem ograniczonych ustawień konfiguracji aplikacji specyficznych dla użytkownika;</w:t>
      </w:r>
    </w:p>
    <w:p w14:paraId="42F5FD9D" w14:textId="77777777" w:rsidR="003B67B6" w:rsidRDefault="003B67B6"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1</w:t>
      </w:r>
      <w:r w:rsidR="006E368D">
        <w:rPr>
          <w:rFonts w:ascii="Times" w:eastAsia="Times New Roman" w:hAnsi="Times" w:cs="Arial"/>
          <w:bCs/>
          <w:sz w:val="24"/>
          <w:szCs w:val="20"/>
          <w:lang w:eastAsia="pl-PL"/>
        </w:rPr>
        <w:t>1</w:t>
      </w:r>
      <w:r>
        <w:rPr>
          <w:rFonts w:ascii="Times" w:eastAsia="Times New Roman" w:hAnsi="Times" w:cs="Arial"/>
          <w:bCs/>
          <w:sz w:val="24"/>
          <w:szCs w:val="20"/>
          <w:lang w:eastAsia="pl-PL"/>
        </w:rPr>
        <w:t xml:space="preserve">) publiczne chmury obliczeniowe – usługi chmur publicznych świadczone przez dostawców komercyjnych spełniających </w:t>
      </w:r>
      <w:r w:rsidR="00B01202">
        <w:rPr>
          <w:rFonts w:ascii="Times" w:eastAsia="Times New Roman" w:hAnsi="Times" w:cs="Arial"/>
          <w:bCs/>
          <w:sz w:val="24"/>
          <w:szCs w:val="20"/>
          <w:lang w:eastAsia="pl-PL"/>
        </w:rPr>
        <w:t xml:space="preserve">w szczególności </w:t>
      </w:r>
      <w:r>
        <w:rPr>
          <w:rFonts w:ascii="Times" w:eastAsia="Times New Roman" w:hAnsi="Times" w:cs="Arial"/>
          <w:bCs/>
          <w:sz w:val="24"/>
          <w:szCs w:val="20"/>
          <w:lang w:eastAsia="pl-PL"/>
        </w:rPr>
        <w:t>wymagania w zakresie poufności, integralności i dostępn</w:t>
      </w:r>
      <w:r w:rsidR="00B01202">
        <w:rPr>
          <w:rFonts w:ascii="Times" w:eastAsia="Times New Roman" w:hAnsi="Times" w:cs="Arial"/>
          <w:bCs/>
          <w:sz w:val="24"/>
          <w:szCs w:val="20"/>
          <w:lang w:eastAsia="pl-PL"/>
        </w:rPr>
        <w:t>ości zdefiniowanych pod kątem zapewnienia bezpieczeństwa informacji administracji publicznej;</w:t>
      </w:r>
    </w:p>
    <w:p w14:paraId="720F44C7" w14:textId="5016DC05" w:rsidR="007135AC" w:rsidRPr="00ED0C91" w:rsidRDefault="003B67B6" w:rsidP="007135AC">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1</w:t>
      </w:r>
      <w:r w:rsidR="006E368D">
        <w:rPr>
          <w:rFonts w:ascii="Times" w:eastAsia="Times New Roman" w:hAnsi="Times" w:cs="Arial"/>
          <w:bCs/>
          <w:sz w:val="24"/>
          <w:szCs w:val="20"/>
          <w:lang w:eastAsia="pl-PL"/>
        </w:rPr>
        <w:t>2</w:t>
      </w:r>
      <w:r w:rsidR="004B2942">
        <w:rPr>
          <w:rFonts w:ascii="Times" w:eastAsia="Times New Roman" w:hAnsi="Times" w:cs="Arial"/>
          <w:bCs/>
          <w:sz w:val="24"/>
          <w:szCs w:val="20"/>
          <w:lang w:eastAsia="pl-PL"/>
        </w:rPr>
        <w:t xml:space="preserve">) Rządowa </w:t>
      </w:r>
      <w:r>
        <w:rPr>
          <w:rFonts w:ascii="Times" w:eastAsia="Times New Roman" w:hAnsi="Times" w:cs="Arial"/>
          <w:bCs/>
          <w:sz w:val="24"/>
          <w:szCs w:val="20"/>
          <w:lang w:eastAsia="pl-PL"/>
        </w:rPr>
        <w:t>Chmura Obliczeniowa</w:t>
      </w:r>
      <w:r w:rsidR="00051004">
        <w:rPr>
          <w:rFonts w:ascii="Times" w:eastAsia="Times New Roman" w:hAnsi="Times" w:cs="Arial"/>
          <w:bCs/>
          <w:sz w:val="24"/>
          <w:szCs w:val="20"/>
          <w:lang w:eastAsia="pl-PL"/>
        </w:rPr>
        <w:t xml:space="preserve"> </w:t>
      </w:r>
      <w:r>
        <w:rPr>
          <w:rFonts w:ascii="Times" w:eastAsia="Times New Roman" w:hAnsi="Times" w:cs="Arial"/>
          <w:bCs/>
          <w:sz w:val="24"/>
          <w:szCs w:val="20"/>
          <w:lang w:eastAsia="pl-PL"/>
        </w:rPr>
        <w:t>– chmur</w:t>
      </w:r>
      <w:r w:rsidR="00206776">
        <w:rPr>
          <w:rFonts w:ascii="Times" w:eastAsia="Times New Roman" w:hAnsi="Times" w:cs="Arial"/>
          <w:bCs/>
          <w:sz w:val="24"/>
          <w:szCs w:val="20"/>
          <w:lang w:eastAsia="pl-PL"/>
        </w:rPr>
        <w:t>ę</w:t>
      </w:r>
      <w:r>
        <w:rPr>
          <w:rFonts w:ascii="Times" w:eastAsia="Times New Roman" w:hAnsi="Times" w:cs="Arial"/>
          <w:bCs/>
          <w:sz w:val="24"/>
          <w:szCs w:val="20"/>
          <w:lang w:eastAsia="pl-PL"/>
        </w:rPr>
        <w:t xml:space="preserve"> </w:t>
      </w:r>
      <w:r w:rsidR="007135AC">
        <w:rPr>
          <w:rFonts w:ascii="Times" w:eastAsia="Times New Roman" w:hAnsi="Times" w:cs="Arial"/>
          <w:bCs/>
          <w:sz w:val="24"/>
          <w:szCs w:val="20"/>
          <w:lang w:eastAsia="pl-PL"/>
        </w:rPr>
        <w:t xml:space="preserve"> </w:t>
      </w:r>
      <w:r w:rsidR="00335370">
        <w:rPr>
          <w:rFonts w:ascii="Times" w:eastAsia="Times New Roman" w:hAnsi="Times" w:cs="Arial"/>
          <w:bCs/>
          <w:sz w:val="24"/>
          <w:szCs w:val="20"/>
          <w:lang w:eastAsia="pl-PL"/>
        </w:rPr>
        <w:t>wspólnotow</w:t>
      </w:r>
      <w:r w:rsidR="00206776">
        <w:rPr>
          <w:rFonts w:ascii="Times" w:eastAsia="Times New Roman" w:hAnsi="Times" w:cs="Arial"/>
          <w:bCs/>
          <w:sz w:val="24"/>
          <w:szCs w:val="20"/>
          <w:lang w:eastAsia="pl-PL"/>
        </w:rPr>
        <w:t>ą</w:t>
      </w:r>
      <w:r w:rsidR="007135AC">
        <w:rPr>
          <w:rFonts w:ascii="Times" w:eastAsia="Times New Roman" w:hAnsi="Times" w:cs="Arial"/>
          <w:bCs/>
          <w:sz w:val="24"/>
          <w:szCs w:val="20"/>
          <w:lang w:eastAsia="pl-PL"/>
        </w:rPr>
        <w:t xml:space="preserve"> administracji publicznej</w:t>
      </w:r>
      <w:r w:rsidR="00335370">
        <w:rPr>
          <w:rFonts w:ascii="Times" w:eastAsia="Times New Roman" w:hAnsi="Times" w:cs="Arial"/>
          <w:bCs/>
          <w:sz w:val="24"/>
          <w:szCs w:val="20"/>
          <w:lang w:eastAsia="pl-PL"/>
        </w:rPr>
        <w:t>;</w:t>
      </w:r>
    </w:p>
    <w:p w14:paraId="4ECE70D7" w14:textId="77777777" w:rsidR="00ED0C91" w:rsidRPr="00ED0C91" w:rsidRDefault="006E368D" w:rsidP="005432E8">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lastRenderedPageBreak/>
        <w:t>1</w:t>
      </w:r>
      <w:r>
        <w:rPr>
          <w:rFonts w:ascii="Times" w:eastAsia="Times New Roman" w:hAnsi="Times" w:cs="Arial"/>
          <w:bCs/>
          <w:sz w:val="24"/>
          <w:szCs w:val="20"/>
          <w:lang w:eastAsia="pl-PL"/>
        </w:rPr>
        <w:t>3</w:t>
      </w:r>
      <w:r w:rsidR="00ED0C91" w:rsidRPr="00ED0C91">
        <w:rPr>
          <w:rFonts w:ascii="Times" w:eastAsia="Times New Roman" w:hAnsi="Times" w:cs="Arial"/>
          <w:bCs/>
          <w:sz w:val="24"/>
          <w:szCs w:val="20"/>
          <w:lang w:eastAsia="pl-PL"/>
        </w:rPr>
        <w:t>)</w:t>
      </w:r>
      <w:r w:rsidR="00ED0C91" w:rsidRPr="00ED0C91">
        <w:rPr>
          <w:rFonts w:ascii="Times" w:eastAsia="Times New Roman" w:hAnsi="Times" w:cs="Arial"/>
          <w:bCs/>
          <w:sz w:val="24"/>
          <w:szCs w:val="20"/>
          <w:lang w:eastAsia="pl-PL"/>
        </w:rPr>
        <w:tab/>
        <w:t>R</w:t>
      </w:r>
      <w:r w:rsidR="004B2942">
        <w:rPr>
          <w:rFonts w:ascii="Times" w:eastAsia="Times New Roman" w:hAnsi="Times" w:cs="Arial"/>
          <w:bCs/>
          <w:sz w:val="24"/>
          <w:szCs w:val="20"/>
          <w:lang w:eastAsia="pl-PL"/>
        </w:rPr>
        <w:t xml:space="preserve">ządowy </w:t>
      </w:r>
      <w:r w:rsidR="00ED0C91" w:rsidRPr="00ED0C91">
        <w:rPr>
          <w:rFonts w:ascii="Times" w:eastAsia="Times New Roman" w:hAnsi="Times" w:cs="Arial"/>
          <w:bCs/>
          <w:sz w:val="24"/>
          <w:szCs w:val="20"/>
          <w:lang w:eastAsia="pl-PL"/>
        </w:rPr>
        <w:t>K</w:t>
      </w:r>
      <w:r w:rsidR="004B2942">
        <w:rPr>
          <w:rFonts w:ascii="Times" w:eastAsia="Times New Roman" w:hAnsi="Times" w:cs="Arial"/>
          <w:bCs/>
          <w:sz w:val="24"/>
          <w:szCs w:val="20"/>
          <w:lang w:eastAsia="pl-PL"/>
        </w:rPr>
        <w:t xml:space="preserve">laster </w:t>
      </w:r>
      <w:r w:rsidR="00ED0C91" w:rsidRPr="00ED0C91">
        <w:rPr>
          <w:rFonts w:ascii="Times" w:eastAsia="Times New Roman" w:hAnsi="Times" w:cs="Arial"/>
          <w:bCs/>
          <w:sz w:val="24"/>
          <w:szCs w:val="20"/>
          <w:lang w:eastAsia="pl-PL"/>
        </w:rPr>
        <w:t>B</w:t>
      </w:r>
      <w:r w:rsidR="004B2942">
        <w:rPr>
          <w:rFonts w:ascii="Times" w:eastAsia="Times New Roman" w:hAnsi="Times" w:cs="Arial"/>
          <w:bCs/>
          <w:sz w:val="24"/>
          <w:szCs w:val="20"/>
          <w:lang w:eastAsia="pl-PL"/>
        </w:rPr>
        <w:t>ezpieczeństwa (RKB)</w:t>
      </w:r>
      <w:r w:rsidR="00ED0C91" w:rsidRPr="00ED0C91">
        <w:rPr>
          <w:rFonts w:ascii="Times" w:eastAsia="Times New Roman" w:hAnsi="Times" w:cs="Arial"/>
          <w:bCs/>
          <w:sz w:val="24"/>
          <w:szCs w:val="20"/>
          <w:lang w:eastAsia="pl-PL"/>
        </w:rPr>
        <w:t xml:space="preserve"> – </w:t>
      </w:r>
      <w:r w:rsidR="00A9538B">
        <w:rPr>
          <w:rFonts w:ascii="Times" w:eastAsia="Times New Roman" w:hAnsi="Times" w:cs="Arial"/>
          <w:bCs/>
          <w:sz w:val="24"/>
          <w:szCs w:val="20"/>
          <w:lang w:eastAsia="pl-PL"/>
        </w:rPr>
        <w:t>usługi bezpieczeństwa oraz środki techniczne stosowane do zabezpieczenia Rządowej Chmur</w:t>
      </w:r>
      <w:r w:rsidR="00D40B8C">
        <w:rPr>
          <w:rFonts w:ascii="Times" w:eastAsia="Times New Roman" w:hAnsi="Times" w:cs="Arial"/>
          <w:bCs/>
          <w:sz w:val="24"/>
          <w:szCs w:val="20"/>
          <w:lang w:eastAsia="pl-PL"/>
        </w:rPr>
        <w:t>y</w:t>
      </w:r>
      <w:r w:rsidR="00A9538B">
        <w:rPr>
          <w:rFonts w:ascii="Times" w:eastAsia="Times New Roman" w:hAnsi="Times" w:cs="Arial"/>
          <w:bCs/>
          <w:sz w:val="24"/>
          <w:szCs w:val="20"/>
          <w:lang w:eastAsia="pl-PL"/>
        </w:rPr>
        <w:t xml:space="preserve"> Obliczeniow</w:t>
      </w:r>
      <w:r w:rsidR="00D40B8C">
        <w:rPr>
          <w:rFonts w:ascii="Times" w:eastAsia="Times New Roman" w:hAnsi="Times" w:cs="Arial"/>
          <w:bCs/>
          <w:sz w:val="24"/>
          <w:szCs w:val="20"/>
          <w:lang w:eastAsia="pl-PL"/>
        </w:rPr>
        <w:t>ej będące implementacją wymagań</w:t>
      </w:r>
      <w:r w:rsidR="00A9538B">
        <w:rPr>
          <w:rFonts w:ascii="Times" w:eastAsia="Times New Roman" w:hAnsi="Times" w:cs="Arial"/>
          <w:bCs/>
          <w:sz w:val="24"/>
          <w:szCs w:val="20"/>
          <w:lang w:eastAsia="pl-PL"/>
        </w:rPr>
        <w:t xml:space="preserve"> </w:t>
      </w:r>
      <w:r w:rsidR="007135AC">
        <w:rPr>
          <w:rFonts w:ascii="Times" w:eastAsia="Times New Roman" w:hAnsi="Times" w:cs="Arial"/>
          <w:bCs/>
          <w:sz w:val="24"/>
          <w:szCs w:val="20"/>
          <w:lang w:eastAsia="pl-PL"/>
        </w:rPr>
        <w:t>Standardy Cyberbezpieczeństwa Chmur Obliczeniowych</w:t>
      </w:r>
      <w:r w:rsidR="00F17B97">
        <w:rPr>
          <w:rFonts w:ascii="Times" w:eastAsia="Times New Roman" w:hAnsi="Times" w:cs="Arial"/>
          <w:bCs/>
          <w:sz w:val="24"/>
          <w:szCs w:val="20"/>
          <w:lang w:eastAsia="pl-PL"/>
        </w:rPr>
        <w:t>;</w:t>
      </w:r>
      <w:r w:rsidR="00D40B8C">
        <w:rPr>
          <w:rFonts w:ascii="Times" w:eastAsia="Times New Roman" w:hAnsi="Times" w:cs="Arial"/>
          <w:bCs/>
          <w:sz w:val="24"/>
          <w:szCs w:val="20"/>
          <w:lang w:eastAsia="pl-PL"/>
        </w:rPr>
        <w:t xml:space="preserve"> </w:t>
      </w:r>
    </w:p>
    <w:p w14:paraId="60CBCD55" w14:textId="77777777" w:rsidR="006E368D" w:rsidRDefault="006E368D"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Pr>
          <w:rFonts w:ascii="Times" w:eastAsia="Times New Roman" w:hAnsi="Times" w:cs="Arial"/>
          <w:bCs/>
          <w:sz w:val="24"/>
          <w:szCs w:val="20"/>
          <w:lang w:eastAsia="pl-PL"/>
        </w:rPr>
        <w:t>4</w:t>
      </w:r>
      <w:r w:rsidR="00ED0C91" w:rsidRPr="00ED0C91">
        <w:rPr>
          <w:rFonts w:ascii="Times" w:eastAsia="Times New Roman" w:hAnsi="Times" w:cs="Arial"/>
          <w:bCs/>
          <w:sz w:val="24"/>
          <w:szCs w:val="20"/>
          <w:lang w:eastAsia="pl-PL"/>
        </w:rPr>
        <w:t>)</w:t>
      </w:r>
      <w:r w:rsidR="00ED0C91" w:rsidRPr="00ED0C91">
        <w:rPr>
          <w:rFonts w:ascii="Times" w:eastAsia="Times New Roman" w:hAnsi="Times" w:cs="Arial"/>
          <w:bCs/>
          <w:sz w:val="24"/>
          <w:szCs w:val="20"/>
          <w:lang w:eastAsia="pl-PL"/>
        </w:rPr>
        <w:tab/>
        <w:t>sieci rządowe – sieci teletransmisyjne</w:t>
      </w:r>
      <w:r w:rsidR="00790551">
        <w:rPr>
          <w:rFonts w:ascii="Times" w:eastAsia="Times New Roman" w:hAnsi="Times" w:cs="Arial"/>
          <w:bCs/>
          <w:sz w:val="24"/>
          <w:szCs w:val="20"/>
          <w:lang w:eastAsia="pl-PL"/>
        </w:rPr>
        <w:t>, pozostające w gestii m</w:t>
      </w:r>
      <w:r w:rsidR="00ED0C91" w:rsidRPr="00ED0C91">
        <w:rPr>
          <w:rFonts w:ascii="Times" w:eastAsia="Times New Roman" w:hAnsi="Times" w:cs="Arial"/>
          <w:bCs/>
          <w:sz w:val="24"/>
          <w:szCs w:val="20"/>
          <w:lang w:eastAsia="pl-PL"/>
        </w:rPr>
        <w:t>inistra właściwego do spraw wewnętrznych</w:t>
      </w:r>
      <w:r>
        <w:rPr>
          <w:rFonts w:ascii="Times" w:eastAsia="Times New Roman" w:hAnsi="Times" w:cs="Arial"/>
          <w:bCs/>
          <w:sz w:val="24"/>
          <w:szCs w:val="20"/>
          <w:lang w:eastAsia="pl-PL"/>
        </w:rPr>
        <w:t>;</w:t>
      </w:r>
    </w:p>
    <w:p w14:paraId="05911EEF" w14:textId="77777777" w:rsidR="00ED0C91" w:rsidRPr="00ED0C91" w:rsidRDefault="006E368D" w:rsidP="00ED0C91">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15) Standardy Cyberbezpieczeństwa Chmur Obliczeniowych</w:t>
      </w:r>
      <w:r w:rsidR="00051004">
        <w:rPr>
          <w:rFonts w:ascii="Times" w:eastAsia="Times New Roman" w:hAnsi="Times" w:cs="Arial"/>
          <w:bCs/>
          <w:sz w:val="24"/>
          <w:szCs w:val="20"/>
          <w:lang w:eastAsia="pl-PL"/>
        </w:rPr>
        <w:t xml:space="preserve"> (SCCO)</w:t>
      </w:r>
      <w:r>
        <w:rPr>
          <w:rFonts w:ascii="Times" w:eastAsia="Times New Roman" w:hAnsi="Times" w:cs="Arial"/>
          <w:bCs/>
          <w:sz w:val="24"/>
          <w:szCs w:val="20"/>
          <w:lang w:eastAsia="pl-PL"/>
        </w:rPr>
        <w:t xml:space="preserve"> – zbiór wymagań prawnych, organizacyjnych  i technicznych zapewniających cyberbezpieczeństwo w modelach wdrażania chmur obliczeniowych</w:t>
      </w:r>
      <w:r w:rsidR="007135AC">
        <w:rPr>
          <w:rFonts w:ascii="Times" w:eastAsia="Times New Roman" w:hAnsi="Times" w:cs="Arial"/>
          <w:bCs/>
          <w:sz w:val="24"/>
          <w:szCs w:val="20"/>
          <w:lang w:eastAsia="pl-PL"/>
        </w:rPr>
        <w:t>.</w:t>
      </w:r>
    </w:p>
    <w:p w14:paraId="2B5C5D44" w14:textId="77777777"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3.</w:t>
      </w:r>
      <w:r w:rsidRPr="00ED0C91">
        <w:rPr>
          <w:rFonts w:ascii="Times" w:eastAsia="Times New Roman" w:hAnsi="Times" w:cs="Arial"/>
          <w:sz w:val="24"/>
          <w:szCs w:val="20"/>
          <w:lang w:eastAsia="pl-PL"/>
        </w:rPr>
        <w:t> 1. Realizację Inicjatywy WIIP powierza się ministrowi właściwemu do spraw informatyzacji.</w:t>
      </w:r>
    </w:p>
    <w:p w14:paraId="1172B426"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2</w:t>
      </w:r>
      <w:r w:rsidRPr="00132BE7">
        <w:rPr>
          <w:rFonts w:ascii="Times" w:eastAsia="Times New Roman" w:hAnsi="Times" w:cs="Arial"/>
          <w:bCs/>
          <w:sz w:val="24"/>
          <w:szCs w:val="20"/>
          <w:lang w:eastAsia="pl-PL"/>
        </w:rPr>
        <w:t xml:space="preserve">. Minister właściwy do spraw informatyzacji, w porozumieniu z ministrem właściwym do spraw wewnętrznych, Ministrem Obrony Narodowej oraz Ministrem – Koordynatorem Służb Specjalnych, przygotuje </w:t>
      </w:r>
      <w:r w:rsidR="007135AC">
        <w:rPr>
          <w:rFonts w:ascii="Times" w:eastAsia="Times New Roman" w:hAnsi="Times" w:cs="Arial"/>
          <w:bCs/>
          <w:sz w:val="24"/>
          <w:szCs w:val="20"/>
          <w:lang w:eastAsia="pl-PL"/>
        </w:rPr>
        <w:t>Standardy Cyberbezpieczeństwa Chmur Obliczeniowych,</w:t>
      </w:r>
      <w:r w:rsidR="00051004">
        <w:rPr>
          <w:rFonts w:ascii="Times" w:eastAsia="Times New Roman" w:hAnsi="Times" w:cs="Arial"/>
          <w:bCs/>
          <w:sz w:val="24"/>
          <w:szCs w:val="20"/>
          <w:lang w:eastAsia="pl-PL"/>
        </w:rPr>
        <w:t xml:space="preserve"> </w:t>
      </w:r>
      <w:r w:rsidRPr="00132BE7">
        <w:rPr>
          <w:rFonts w:ascii="Times" w:eastAsia="Times New Roman" w:hAnsi="Times" w:cs="Arial"/>
          <w:bCs/>
          <w:sz w:val="24"/>
          <w:szCs w:val="20"/>
          <w:lang w:eastAsia="pl-PL"/>
        </w:rPr>
        <w:t xml:space="preserve">w terminie dwóch miesięcy od dnia wejścia w życie uchwały </w:t>
      </w:r>
      <w:r w:rsidRPr="007727E9">
        <w:rPr>
          <w:rFonts w:ascii="Times" w:eastAsia="Times New Roman" w:hAnsi="Times" w:cs="Arial"/>
          <w:bCs/>
          <w:sz w:val="24"/>
          <w:szCs w:val="20"/>
          <w:lang w:eastAsia="pl-PL"/>
        </w:rPr>
        <w:t xml:space="preserve">oraz przekaże go </w:t>
      </w:r>
      <w:r w:rsidR="007727E9" w:rsidRPr="006E368D">
        <w:rPr>
          <w:rFonts w:ascii="Times" w:eastAsia="Times New Roman" w:hAnsi="Times" w:cs="Arial"/>
          <w:bCs/>
          <w:sz w:val="24"/>
          <w:szCs w:val="20"/>
          <w:lang w:eastAsia="pl-PL"/>
        </w:rPr>
        <w:t xml:space="preserve">do </w:t>
      </w:r>
      <w:r w:rsidR="0034632E">
        <w:rPr>
          <w:rFonts w:ascii="Times" w:eastAsia="Times New Roman" w:hAnsi="Times" w:cs="Arial"/>
          <w:bCs/>
          <w:sz w:val="24"/>
          <w:szCs w:val="20"/>
          <w:lang w:eastAsia="pl-PL"/>
        </w:rPr>
        <w:t>Kolegium ds. Cyberbezpieczeństwa</w:t>
      </w:r>
      <w:r w:rsidRPr="00DA266E">
        <w:rPr>
          <w:rFonts w:ascii="Times" w:eastAsia="Times New Roman" w:hAnsi="Times" w:cs="Arial"/>
          <w:bCs/>
          <w:sz w:val="24"/>
          <w:szCs w:val="20"/>
          <w:lang w:eastAsia="pl-PL"/>
        </w:rPr>
        <w:t>.</w:t>
      </w:r>
    </w:p>
    <w:p w14:paraId="7875E35A" w14:textId="77777777"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4.</w:t>
      </w:r>
      <w:r w:rsidRPr="00ED0C91">
        <w:rPr>
          <w:rFonts w:ascii="Times" w:eastAsia="Times New Roman" w:hAnsi="Times" w:cs="Arial"/>
          <w:sz w:val="24"/>
          <w:szCs w:val="20"/>
          <w:lang w:eastAsia="pl-PL"/>
        </w:rPr>
        <w:t xml:space="preserve"> 1. Minister właściwy do spraw informatyzacji zapewnia budowę, rozwój i utrzymanie oraz zarządzanie zasobami Rządowej Chmury Obliczeniowej, jako </w:t>
      </w:r>
      <w:r>
        <w:rPr>
          <w:rFonts w:ascii="Times" w:eastAsia="Times New Roman" w:hAnsi="Times" w:cs="Arial"/>
          <w:sz w:val="24"/>
          <w:szCs w:val="20"/>
          <w:lang w:eastAsia="pl-PL"/>
        </w:rPr>
        <w:t>o</w:t>
      </w:r>
      <w:r w:rsidRPr="00ED0C91">
        <w:rPr>
          <w:rFonts w:ascii="Times" w:eastAsia="Times New Roman" w:hAnsi="Times" w:cs="Arial"/>
          <w:sz w:val="24"/>
          <w:szCs w:val="20"/>
          <w:lang w:eastAsia="pl-PL"/>
        </w:rPr>
        <w:t>perator Rządowej Chmury Obliczeniowej.</w:t>
      </w:r>
    </w:p>
    <w:p w14:paraId="5D9FF3D2"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Minister właściwy do spraw informatyzacji może powierzyć realizację we własnym imieniu zadania, o którym mowa w ust. 1, jednostce przez niego nadzorowanej.</w:t>
      </w:r>
    </w:p>
    <w:p w14:paraId="5C59B081"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Operator Rządowej Chmury Obliczeniowej </w:t>
      </w:r>
      <w:r w:rsidRPr="0012515B">
        <w:rPr>
          <w:rFonts w:ascii="Times" w:eastAsia="Times New Roman" w:hAnsi="Times" w:cs="Arial"/>
          <w:bCs/>
          <w:sz w:val="24"/>
          <w:szCs w:val="20"/>
          <w:lang w:eastAsia="pl-PL"/>
        </w:rPr>
        <w:t>tworzy katalog usług przetwarzania w Rządowej Chmurze Obliczeniowej</w:t>
      </w:r>
      <w:r w:rsidRPr="0075432D">
        <w:rPr>
          <w:rFonts w:ascii="Times" w:eastAsia="Times New Roman" w:hAnsi="Times" w:cs="Arial"/>
          <w:bCs/>
          <w:sz w:val="24"/>
          <w:szCs w:val="20"/>
          <w:lang w:eastAsia="pl-PL"/>
        </w:rPr>
        <w:t xml:space="preserve"> i udostępnia go podmio</w:t>
      </w:r>
      <w:r w:rsidRPr="00ED0C91">
        <w:rPr>
          <w:rFonts w:ascii="Times" w:eastAsia="Times New Roman" w:hAnsi="Times" w:cs="Arial"/>
          <w:bCs/>
          <w:sz w:val="24"/>
          <w:szCs w:val="20"/>
          <w:lang w:eastAsia="pl-PL"/>
        </w:rPr>
        <w:t xml:space="preserve">tom, o których mowa w § 6 ust. 1, których systemy teleinformatyczne </w:t>
      </w:r>
      <w:r>
        <w:rPr>
          <w:rFonts w:ascii="Times" w:eastAsia="Times New Roman" w:hAnsi="Times" w:cs="Arial"/>
          <w:sz w:val="24"/>
          <w:szCs w:val="20"/>
          <w:lang w:eastAsia="pl-PL"/>
        </w:rPr>
        <w:t xml:space="preserve">spełniają kryteria klasyfikacji </w:t>
      </w:r>
      <w:r w:rsidRPr="00ED0C91">
        <w:rPr>
          <w:rFonts w:ascii="Times" w:eastAsia="Times New Roman" w:hAnsi="Times" w:cs="Arial"/>
          <w:bCs/>
          <w:sz w:val="24"/>
          <w:szCs w:val="20"/>
          <w:lang w:eastAsia="pl-PL"/>
        </w:rPr>
        <w:t>do korzystania z usług przetwarzanych w Rządowej Chmurze Obliczeniowej.</w:t>
      </w:r>
    </w:p>
    <w:p w14:paraId="77D5304F"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 Usługi przetwarzania w Rządowej Chmurze Obliczeniowej będą świadczone, w szczególności w modelu „Infrastruktura jako usługa” (IaaS) i „Platforma jako usługa” (PaaS) oraz „Oprogramowanie jako usługa” (SaaS).</w:t>
      </w:r>
    </w:p>
    <w:p w14:paraId="48AB32AC" w14:textId="77777777" w:rsidR="002F6B0A"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Usługi przetwarzania w Rządowej Chmurze Obliczeniowej będą świadczone w CPD, których posiadaczami są właściwe organy administracji rządowej.</w:t>
      </w:r>
    </w:p>
    <w:p w14:paraId="6AC3C095"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 Organy administracji rządowej współpracują z ministrem właściwym do spraw informatyzacji, w celu świadczenia usług przetwarzania w Rządowej Chmurze Obliczeniowej w oparciu o istniejące zasoby teleinformatyczne.</w:t>
      </w:r>
    </w:p>
    <w:p w14:paraId="72BFF4A2" w14:textId="77777777" w:rsidR="002F6B0A" w:rsidRPr="00132BE7" w:rsidRDefault="002F6B0A" w:rsidP="002F6B0A">
      <w:pPr>
        <w:pStyle w:val="ARTartustawynprozporzdzenia"/>
        <w:rPr>
          <w:rFonts w:asciiTheme="minorHAnsi" w:eastAsiaTheme="minorHAnsi" w:hAnsiTheme="minorHAnsi" w:cstheme="minorBidi"/>
          <w:sz w:val="22"/>
          <w:szCs w:val="22"/>
        </w:rPr>
      </w:pPr>
      <w:r w:rsidRPr="00132BE7">
        <w:rPr>
          <w:rFonts w:eastAsia="Times New Roman"/>
          <w:b/>
        </w:rPr>
        <w:lastRenderedPageBreak/>
        <w:t>§ 5.</w:t>
      </w:r>
      <w:r w:rsidRPr="00132BE7">
        <w:rPr>
          <w:rFonts w:eastAsia="Times New Roman"/>
        </w:rPr>
        <w:t> 1. CPD, o których mowa w § 4 ust. 5, będą przyłączone do Rządowej Chmury Obliczeniowej po złożeniu pisemnego oświadczenia operatorowi Rządowej Chmury Obliczeniowej, przez posiadacza CPD, potwierdzającego spełnienie minimalnych wymagań organizacyjnych i technicznych dla posiadaczy CPD oraz ich obiektów CPD przyłączonych do Rządowej Chmury Obliczeniowej, określonych w załączniku nr 1 do uchwały</w:t>
      </w:r>
      <w:r w:rsidR="007135AC">
        <w:rPr>
          <w:rFonts w:eastAsia="Times New Roman"/>
        </w:rPr>
        <w:t>. Do oświadczenia dołącza się potwierdzenie</w:t>
      </w:r>
      <w:r w:rsidR="006E368D">
        <w:rPr>
          <w:rFonts w:eastAsia="Times New Roman"/>
        </w:rPr>
        <w:t xml:space="preserve"> wykorzystania węzła sieci rządowej uzyskan</w:t>
      </w:r>
      <w:r w:rsidR="00B754B5">
        <w:rPr>
          <w:rFonts w:eastAsia="Times New Roman"/>
        </w:rPr>
        <w:t xml:space="preserve">e </w:t>
      </w:r>
      <w:r w:rsidR="006E368D">
        <w:rPr>
          <w:rFonts w:eastAsia="Times New Roman"/>
        </w:rPr>
        <w:t>od ministra właściwego d</w:t>
      </w:r>
      <w:r w:rsidR="007135AC">
        <w:rPr>
          <w:rFonts w:eastAsia="Times New Roman"/>
        </w:rPr>
        <w:t>o</w:t>
      </w:r>
      <w:r w:rsidR="006E368D">
        <w:rPr>
          <w:rFonts w:eastAsia="Times New Roman"/>
        </w:rPr>
        <w:t xml:space="preserve"> spraw wewnętrznych</w:t>
      </w:r>
      <w:r w:rsidR="002E35A3">
        <w:rPr>
          <w:rFonts w:eastAsia="Times New Roman"/>
        </w:rPr>
        <w:t xml:space="preserve"> na potrzeby </w:t>
      </w:r>
      <w:r w:rsidR="002E35A3" w:rsidRPr="00132BE7">
        <w:rPr>
          <w:rFonts w:eastAsia="Times New Roman"/>
        </w:rPr>
        <w:t>Rządowej Chmury Obliczeniowej</w:t>
      </w:r>
      <w:r w:rsidRPr="00132BE7">
        <w:rPr>
          <w:rFonts w:eastAsia="Times New Roman"/>
        </w:rPr>
        <w:t>.</w:t>
      </w:r>
    </w:p>
    <w:p w14:paraId="4918E941"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Sposób i zakres przyłączenia oraz zasady korzystania z CPD przyłączonego do Rządowej Chmury Obliczeniowej będą określone w porozumieniu zawartym między właściwym organem administracji rządowej będącym posiadaczem CPD, a ministrem właściwym do spraw informatyzacji.</w:t>
      </w:r>
    </w:p>
    <w:p w14:paraId="5BB94CEF" w14:textId="77777777" w:rsidR="002F6B0A"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Zasady i sposób wykorzystania sieci teletransmisji na potrzeby Rządowej Chmury Obliczeniowej będą określane w porozumieniu zawartym między właściwym operatorem sieci</w:t>
      </w:r>
      <w:r w:rsidR="002E35A3">
        <w:rPr>
          <w:rFonts w:ascii="Times" w:eastAsia="Times New Roman" w:hAnsi="Times" w:cs="Arial"/>
          <w:bCs/>
          <w:sz w:val="24"/>
          <w:szCs w:val="20"/>
          <w:lang w:eastAsia="pl-PL"/>
        </w:rPr>
        <w:t xml:space="preserve"> rządowej</w:t>
      </w:r>
      <w:r w:rsidRPr="00ED0C91">
        <w:rPr>
          <w:rFonts w:ascii="Times" w:eastAsia="Times New Roman" w:hAnsi="Times" w:cs="Arial"/>
          <w:bCs/>
          <w:sz w:val="24"/>
          <w:szCs w:val="20"/>
          <w:lang w:eastAsia="pl-PL"/>
        </w:rPr>
        <w:t>, a ministrem właściwym do spraw informatyzacji</w:t>
      </w:r>
      <w:r w:rsidR="002E35A3">
        <w:rPr>
          <w:rFonts w:ascii="Times" w:eastAsia="Times New Roman" w:hAnsi="Times" w:cs="Arial"/>
          <w:bCs/>
          <w:sz w:val="24"/>
          <w:szCs w:val="20"/>
          <w:lang w:eastAsia="pl-PL"/>
        </w:rPr>
        <w:t>.</w:t>
      </w:r>
      <w:r w:rsidR="00051004">
        <w:rPr>
          <w:rFonts w:ascii="Times" w:eastAsia="Times New Roman" w:hAnsi="Times" w:cs="Arial"/>
          <w:bCs/>
          <w:sz w:val="24"/>
          <w:szCs w:val="20"/>
          <w:lang w:eastAsia="pl-PL"/>
        </w:rPr>
        <w:t xml:space="preserve"> </w:t>
      </w:r>
      <w:r w:rsidR="002E35A3">
        <w:rPr>
          <w:rFonts w:ascii="Times" w:eastAsia="Times New Roman" w:hAnsi="Times" w:cs="Arial"/>
          <w:bCs/>
          <w:sz w:val="24"/>
          <w:szCs w:val="20"/>
          <w:lang w:eastAsia="pl-PL"/>
        </w:rPr>
        <w:t>O</w:t>
      </w:r>
      <w:r w:rsidR="002E35A3" w:rsidRPr="00ED0C91">
        <w:rPr>
          <w:rFonts w:ascii="Times" w:eastAsia="Times New Roman" w:hAnsi="Times" w:cs="Arial"/>
          <w:bCs/>
          <w:sz w:val="24"/>
          <w:szCs w:val="20"/>
          <w:lang w:eastAsia="pl-PL"/>
        </w:rPr>
        <w:t xml:space="preserve">cena </w:t>
      </w:r>
      <w:r w:rsidRPr="00ED0C91">
        <w:rPr>
          <w:rFonts w:ascii="Times" w:eastAsia="Times New Roman" w:hAnsi="Times" w:cs="Arial"/>
          <w:bCs/>
          <w:sz w:val="24"/>
          <w:szCs w:val="20"/>
          <w:lang w:eastAsia="pl-PL"/>
        </w:rPr>
        <w:t>spełnienia minimalnych wymagań organizacyjnych i technicznych w zakresie możliwości przyłączania do sieci teletransmisji będzie każdorazowo uzgadniana między stronami porozumienia.</w:t>
      </w:r>
    </w:p>
    <w:p w14:paraId="6EC9635C" w14:textId="77777777" w:rsidR="002E35A3" w:rsidRPr="00ED0C91" w:rsidRDefault="002E35A3"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4. Przepisy ust. 3 nie stosuje w przypadku,  gdy podmiot korzystający z Rządowej Chmury Obliczeniowej już posiada podpisane porozumienie z operatorem siedzi rządowej.</w:t>
      </w:r>
    </w:p>
    <w:p w14:paraId="3EF5A7E6" w14:textId="77777777" w:rsidR="002F6B0A" w:rsidRPr="00ED0C91" w:rsidRDefault="002F6B0A" w:rsidP="002F6B0A">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6.</w:t>
      </w:r>
      <w:r w:rsidRPr="00ED0C91">
        <w:rPr>
          <w:rFonts w:ascii="Times" w:eastAsia="Times New Roman" w:hAnsi="Times" w:cs="Arial"/>
          <w:sz w:val="24"/>
          <w:szCs w:val="20"/>
          <w:lang w:eastAsia="pl-PL"/>
        </w:rPr>
        <w:t> 1. Z usług przetwarzania w Rządowej Chmurze Obliczeniowej mogą korzystać:</w:t>
      </w:r>
    </w:p>
    <w:p w14:paraId="7136F68C"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podmioty sektora finansów publicznych, o których mowa w art. 9 ust. 1-13 ustawy z dnia 27 sierpnia 2009 r. o finansach publicznych (Dz. U. z 201</w:t>
      </w:r>
      <w:r>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 xml:space="preserve"> r. poz. </w:t>
      </w:r>
      <w:r>
        <w:rPr>
          <w:rFonts w:ascii="Times" w:eastAsia="Times New Roman" w:hAnsi="Times" w:cs="Arial"/>
          <w:bCs/>
          <w:sz w:val="24"/>
          <w:szCs w:val="20"/>
          <w:lang w:eastAsia="pl-PL"/>
        </w:rPr>
        <w:t>869</w:t>
      </w:r>
      <w:r w:rsidRPr="00ED0C91">
        <w:rPr>
          <w:rFonts w:ascii="Times" w:eastAsia="Times New Roman" w:hAnsi="Times" w:cs="Arial"/>
          <w:bCs/>
          <w:sz w:val="24"/>
          <w:szCs w:val="20"/>
          <w:lang w:eastAsia="pl-PL"/>
        </w:rPr>
        <w:t>);</w:t>
      </w:r>
    </w:p>
    <w:p w14:paraId="649D4A73"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inne państwowe osoby prawne utworzone na podstawie odrębnych ustaw w celu wykonywania zadań publicznych, z wyłączeniem przedsiębiorstw, banków i spółek prawa handlowego;</w:t>
      </w:r>
    </w:p>
    <w:p w14:paraId="013E05B5"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inne, niż określone w ustawie z dnia 27 sierpnia 2009 r. o finansach publicznych, państwowe jednostki organizacyjne nieposiadające osobowości prawnej.</w:t>
      </w:r>
    </w:p>
    <w:p w14:paraId="436DA1C2"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2. Korzystanie przez podmioty, o których mowa w ust. 1, z usług przetwarzania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Rządowej Chmurze Obliczeniowej lub publicznych chmurach obliczeniowych uzależnione jest od </w:t>
      </w:r>
      <w:r w:rsidRPr="0039267D">
        <w:rPr>
          <w:rFonts w:ascii="Times" w:eastAsia="Times New Roman" w:hAnsi="Times" w:cs="Arial"/>
          <w:bCs/>
          <w:sz w:val="24"/>
          <w:szCs w:val="20"/>
          <w:lang w:eastAsia="pl-PL"/>
        </w:rPr>
        <w:t>spełnienia kryteriów klasyfikacji systemów teleinformatycznych, które mogą korzystać z usług przetwarzania w Rządowej Chmurze Obliczeniowej lub publicznych chmurach obliczeniowych, określonych w załączniku nr 2 do uchwały.</w:t>
      </w:r>
    </w:p>
    <w:p w14:paraId="5FE3615F" w14:textId="77777777"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Podmioty, o których mowa w ust. 1, w celu skorzystania z usług przetwarzania w Rządowej Chmurze Obliczeniowej, wnioskują do ministra właściwego do spraw informatyzacji </w:t>
      </w:r>
      <w:r w:rsidRPr="00ED0C91">
        <w:rPr>
          <w:rFonts w:ascii="Times" w:eastAsia="Times New Roman" w:hAnsi="Times" w:cs="Arial"/>
          <w:bCs/>
          <w:sz w:val="24"/>
          <w:szCs w:val="20"/>
          <w:lang w:eastAsia="pl-PL"/>
        </w:rPr>
        <w:lastRenderedPageBreak/>
        <w:t>o zawarcie porozumienia, określającego szczegółowe warunki techniczne oraz prawa i obowiązki stron, w szczególności:</w:t>
      </w:r>
    </w:p>
    <w:p w14:paraId="311B7345"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zastosowane standardy, podział odpowiedzialności, ograniczenia odpowiedzialności oraz zasady audytu;</w:t>
      </w:r>
    </w:p>
    <w:p w14:paraId="0521FE47"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procedury wejścia do Rządowej Chmury Obliczeniowej;</w:t>
      </w:r>
    </w:p>
    <w:p w14:paraId="0424A5F7"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podział obowiązków i odpowiedzialności związany z użytkowaniem usług, w tym obowiązki dostawcy usług</w:t>
      </w:r>
      <w:r>
        <w:rPr>
          <w:rFonts w:ascii="Times" w:eastAsia="Times New Roman" w:hAnsi="Times" w:cs="Arial"/>
          <w:bCs/>
          <w:sz w:val="24"/>
          <w:szCs w:val="20"/>
          <w:lang w:eastAsia="pl-PL"/>
        </w:rPr>
        <w:t xml:space="preserve"> oraz</w:t>
      </w:r>
      <w:r w:rsidRPr="00ED0C91">
        <w:rPr>
          <w:rFonts w:ascii="Times" w:eastAsia="Times New Roman" w:hAnsi="Times" w:cs="Arial"/>
          <w:bCs/>
          <w:sz w:val="24"/>
          <w:szCs w:val="20"/>
          <w:lang w:eastAsia="pl-PL"/>
        </w:rPr>
        <w:t xml:space="preserve"> zapewnienie ustalonego poziomu SLA;</w:t>
      </w:r>
    </w:p>
    <w:p w14:paraId="0CFFA2BD"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zasady obsługi technicznej;</w:t>
      </w:r>
    </w:p>
    <w:p w14:paraId="4612F45E"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obowiązki w zakresie praw własności intelektualnej;</w:t>
      </w:r>
    </w:p>
    <w:p w14:paraId="60358D78"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procedury bezpieczeństw oraz zasady reagowania na incydenty;</w:t>
      </w:r>
    </w:p>
    <w:p w14:paraId="01810DD6"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7)</w:t>
      </w:r>
      <w:r w:rsidRPr="00ED0C91">
        <w:rPr>
          <w:rFonts w:ascii="Times" w:eastAsia="Times New Roman" w:hAnsi="Times" w:cs="Arial"/>
          <w:bCs/>
          <w:sz w:val="24"/>
          <w:szCs w:val="20"/>
          <w:lang w:eastAsia="pl-PL"/>
        </w:rPr>
        <w:tab/>
        <w:t>obowiązki w zakresie ochrony danych osobowych;</w:t>
      </w:r>
    </w:p>
    <w:p w14:paraId="4EFC8B08"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8)</w:t>
      </w:r>
      <w:r w:rsidRPr="00ED0C91">
        <w:rPr>
          <w:rFonts w:ascii="Times" w:eastAsia="Times New Roman" w:hAnsi="Times" w:cs="Arial"/>
          <w:bCs/>
          <w:sz w:val="24"/>
          <w:szCs w:val="20"/>
          <w:lang w:eastAsia="pl-PL"/>
        </w:rPr>
        <w:tab/>
        <w:t>procedury wyjścia z Rządowej Chmury Obliczeniowej oraz warunki wypowiedzenia umowy;</w:t>
      </w:r>
    </w:p>
    <w:p w14:paraId="496E85E7"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ab/>
        <w:t>zasady prowadzenia rozliczeń za wykorzystanie usług;</w:t>
      </w:r>
    </w:p>
    <w:p w14:paraId="3013C59C"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10)</w:t>
      </w:r>
      <w:r w:rsidRPr="00ED0C91">
        <w:rPr>
          <w:rFonts w:ascii="Times" w:eastAsia="Times New Roman" w:hAnsi="Times" w:cs="Arial"/>
          <w:bCs/>
          <w:sz w:val="24"/>
          <w:szCs w:val="20"/>
          <w:lang w:eastAsia="pl-PL"/>
        </w:rPr>
        <w:tab/>
        <w:t>obowiązki informacyjne w zakresie świadczenia usług.</w:t>
      </w:r>
    </w:p>
    <w:p w14:paraId="0190D196" w14:textId="77777777" w:rsidR="002F6B0A" w:rsidRPr="00ED0C91" w:rsidRDefault="002F6B0A" w:rsidP="002F6B0A">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7.</w:t>
      </w:r>
      <w:r w:rsidRPr="00ED0C91">
        <w:rPr>
          <w:rFonts w:ascii="Times" w:eastAsia="Times New Roman" w:hAnsi="Times" w:cs="Arial"/>
          <w:sz w:val="24"/>
          <w:szCs w:val="20"/>
          <w:lang w:eastAsia="pl-PL"/>
        </w:rPr>
        <w:t> 1. RKB obejmuje usługi:</w:t>
      </w:r>
    </w:p>
    <w:p w14:paraId="2BC507CA"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bezpieczeństwa teleinformatycznego, świadczone w oparciu o dedykowane systemy bezpieczeństwa, które realizują zadania wyłącznie na potrzeby Inicjatywy WIIP;</w:t>
      </w:r>
    </w:p>
    <w:p w14:paraId="40C88EE0" w14:textId="77777777" w:rsidR="002F6B0A" w:rsidRPr="00ED0C91" w:rsidRDefault="002F6B0A" w:rsidP="002F6B0A">
      <w:pPr>
        <w:keepNext/>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monitorowania poziomu bezpieczeństwa opartego o dedykowane zespoły:</w:t>
      </w:r>
    </w:p>
    <w:p w14:paraId="691DF915" w14:textId="77777777" w:rsidR="002F6B0A" w:rsidRPr="00ED0C91" w:rsidRDefault="002F6B0A" w:rsidP="002F6B0A">
      <w:pPr>
        <w:spacing w:after="0" w:line="360" w:lineRule="auto"/>
        <w:ind w:left="986" w:hanging="476"/>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a)</w:t>
      </w:r>
      <w:r w:rsidRPr="00ED0C91">
        <w:rPr>
          <w:rFonts w:ascii="Times" w:eastAsia="Times New Roman" w:hAnsi="Times" w:cs="Arial"/>
          <w:bCs/>
          <w:sz w:val="24"/>
          <w:szCs w:val="20"/>
          <w:lang w:eastAsia="pl-PL"/>
        </w:rPr>
        <w:tab/>
        <w:t>Centrum Zarzadzania Siecią (Network Operations Center „NOC”),</w:t>
      </w:r>
    </w:p>
    <w:p w14:paraId="3DE98AB9" w14:textId="77777777" w:rsidR="002F6B0A" w:rsidRPr="00ED0C91" w:rsidRDefault="002F6B0A" w:rsidP="002F6B0A">
      <w:pPr>
        <w:spacing w:after="0" w:line="360" w:lineRule="auto"/>
        <w:ind w:left="986" w:hanging="476"/>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b)</w:t>
      </w:r>
      <w:r w:rsidRPr="00ED0C91">
        <w:rPr>
          <w:rFonts w:ascii="Times" w:eastAsia="Times New Roman" w:hAnsi="Times" w:cs="Arial"/>
          <w:bCs/>
          <w:sz w:val="24"/>
          <w:szCs w:val="20"/>
          <w:lang w:eastAsia="pl-PL"/>
        </w:rPr>
        <w:tab/>
        <w:t>Operacyjnego Centrum Bezpieczeństwa (Security Operations Center „SOC”).</w:t>
      </w:r>
    </w:p>
    <w:p w14:paraId="437BAADB" w14:textId="77777777"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RKB zapewnia bezpieczeństwo:</w:t>
      </w:r>
    </w:p>
    <w:p w14:paraId="7A56709E" w14:textId="77777777" w:rsidR="00B471EE" w:rsidRDefault="002F6B0A" w:rsidP="006E368D">
      <w:pPr>
        <w:keepNext/>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r>
      <w:r w:rsidR="00A21E5B" w:rsidRPr="00ED0C91">
        <w:rPr>
          <w:rFonts w:ascii="Times" w:eastAsia="Times New Roman" w:hAnsi="Times" w:cs="Arial"/>
          <w:bCs/>
          <w:sz w:val="24"/>
          <w:szCs w:val="20"/>
          <w:lang w:eastAsia="pl-PL"/>
        </w:rPr>
        <w:t>połączenia między poszczególnymi CPD</w:t>
      </w:r>
      <w:r w:rsidR="00A21E5B">
        <w:rPr>
          <w:rFonts w:ascii="Times" w:eastAsia="Times New Roman" w:hAnsi="Times" w:cs="Arial"/>
          <w:bCs/>
          <w:sz w:val="24"/>
          <w:szCs w:val="20"/>
          <w:lang w:eastAsia="pl-PL"/>
        </w:rPr>
        <w:t xml:space="preserve"> funkcjonującymi w środowisku WIIP</w:t>
      </w:r>
      <w:r w:rsidR="00B471EE">
        <w:rPr>
          <w:rFonts w:ascii="Times" w:eastAsia="Times New Roman" w:hAnsi="Times" w:cs="Arial"/>
          <w:bCs/>
          <w:sz w:val="24"/>
          <w:szCs w:val="20"/>
          <w:lang w:eastAsia="pl-PL"/>
        </w:rPr>
        <w:t>;</w:t>
      </w:r>
    </w:p>
    <w:p w14:paraId="612B4E2A" w14:textId="77777777" w:rsidR="00A21E5B" w:rsidRPr="006E368D" w:rsidRDefault="00B471EE" w:rsidP="006E368D">
      <w:pPr>
        <w:keepNext/>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2)</w:t>
      </w:r>
      <w:r>
        <w:rPr>
          <w:rFonts w:ascii="Times" w:eastAsia="Times New Roman" w:hAnsi="Times" w:cs="Arial"/>
          <w:bCs/>
          <w:sz w:val="24"/>
          <w:szCs w:val="20"/>
          <w:lang w:eastAsia="pl-PL"/>
        </w:rPr>
        <w:tab/>
      </w:r>
      <w:r w:rsidR="00A21E5B" w:rsidRPr="006E368D">
        <w:rPr>
          <w:rFonts w:ascii="Times" w:eastAsia="Times New Roman" w:hAnsi="Times" w:cs="Arial"/>
          <w:bCs/>
          <w:sz w:val="24"/>
          <w:szCs w:val="20"/>
          <w:lang w:eastAsia="pl-PL"/>
        </w:rPr>
        <w:t>komunikacji pomiędzy Rządową Chmurą Obliczeniową a odbiorcami jej usług w oparciu o udostępnione dla RKB warstwy sieci rządowej;</w:t>
      </w:r>
    </w:p>
    <w:p w14:paraId="55628955" w14:textId="77777777" w:rsidR="002F6B0A" w:rsidRPr="00ED0C91" w:rsidRDefault="00B471EE" w:rsidP="002F6B0A">
      <w:pPr>
        <w:spacing w:after="0" w:line="360" w:lineRule="auto"/>
        <w:ind w:left="510" w:hanging="510"/>
        <w:jc w:val="both"/>
        <w:rPr>
          <w:rFonts w:ascii="Times" w:eastAsia="Times New Roman" w:hAnsi="Times" w:cs="Arial"/>
          <w:bCs/>
          <w:sz w:val="24"/>
          <w:szCs w:val="20"/>
          <w:lang w:eastAsia="pl-PL"/>
        </w:rPr>
      </w:pPr>
      <w:r>
        <w:rPr>
          <w:rFonts w:ascii="Times" w:eastAsia="Times New Roman" w:hAnsi="Times" w:cs="Arial"/>
          <w:bCs/>
          <w:sz w:val="24"/>
          <w:szCs w:val="20"/>
          <w:lang w:eastAsia="pl-PL"/>
        </w:rPr>
        <w:t>3)</w:t>
      </w:r>
      <w:r>
        <w:rPr>
          <w:rFonts w:ascii="Times" w:eastAsia="Times New Roman" w:hAnsi="Times" w:cs="Arial"/>
          <w:bCs/>
          <w:sz w:val="24"/>
          <w:szCs w:val="20"/>
          <w:lang w:eastAsia="pl-PL"/>
        </w:rPr>
        <w:tab/>
      </w:r>
      <w:r w:rsidR="002F6B0A" w:rsidRPr="00ED0C91">
        <w:rPr>
          <w:rFonts w:ascii="Times" w:eastAsia="Times New Roman" w:hAnsi="Times" w:cs="Arial"/>
          <w:bCs/>
          <w:sz w:val="24"/>
          <w:szCs w:val="20"/>
          <w:lang w:eastAsia="pl-PL"/>
        </w:rPr>
        <w:t xml:space="preserve">połączenia infrastruktury </w:t>
      </w:r>
      <w:r w:rsidR="00A21E5B" w:rsidRPr="00ED0C91">
        <w:rPr>
          <w:rFonts w:ascii="Times" w:eastAsia="Times New Roman" w:hAnsi="Times" w:cs="Arial"/>
          <w:bCs/>
          <w:sz w:val="24"/>
          <w:szCs w:val="20"/>
          <w:lang w:eastAsia="pl-PL"/>
        </w:rPr>
        <w:t>tele</w:t>
      </w:r>
      <w:r w:rsidR="00A21E5B">
        <w:rPr>
          <w:rFonts w:ascii="Times" w:eastAsia="Times New Roman" w:hAnsi="Times" w:cs="Arial"/>
          <w:bCs/>
          <w:sz w:val="24"/>
          <w:szCs w:val="20"/>
          <w:lang w:eastAsia="pl-PL"/>
        </w:rPr>
        <w:t>informatycznej</w:t>
      </w:r>
      <w:r w:rsidR="00A21E5B" w:rsidRPr="00ED0C91">
        <w:rPr>
          <w:rFonts w:ascii="Times" w:eastAsia="Times New Roman" w:hAnsi="Times" w:cs="Arial"/>
          <w:bCs/>
          <w:sz w:val="24"/>
          <w:szCs w:val="20"/>
          <w:lang w:eastAsia="pl-PL"/>
        </w:rPr>
        <w:t xml:space="preserve"> </w:t>
      </w:r>
      <w:r w:rsidR="002F6B0A" w:rsidRPr="00ED0C91">
        <w:rPr>
          <w:rFonts w:ascii="Times" w:eastAsia="Times New Roman" w:hAnsi="Times" w:cs="Arial"/>
          <w:bCs/>
          <w:sz w:val="24"/>
          <w:szCs w:val="20"/>
          <w:lang w:eastAsia="pl-PL"/>
        </w:rPr>
        <w:t xml:space="preserve">Rządowej Chmury Obliczeniowej </w:t>
      </w:r>
      <w:r w:rsidR="002F6B0A">
        <w:rPr>
          <w:rFonts w:ascii="Times" w:eastAsia="Times New Roman" w:hAnsi="Times" w:cs="Arial"/>
          <w:bCs/>
          <w:sz w:val="24"/>
          <w:szCs w:val="20"/>
          <w:lang w:eastAsia="pl-PL"/>
        </w:rPr>
        <w:br/>
      </w:r>
      <w:r w:rsidR="002F6B0A" w:rsidRPr="00ED0C91">
        <w:rPr>
          <w:rFonts w:ascii="Times" w:eastAsia="Times New Roman" w:hAnsi="Times" w:cs="Arial"/>
          <w:bCs/>
          <w:sz w:val="24"/>
          <w:szCs w:val="20"/>
          <w:lang w:eastAsia="pl-PL"/>
        </w:rPr>
        <w:t xml:space="preserve">z publiczną siecią Internet poprzez </w:t>
      </w:r>
      <w:r w:rsidR="00A21E5B">
        <w:rPr>
          <w:rFonts w:ascii="Times" w:eastAsia="Times New Roman" w:hAnsi="Times" w:cs="Arial"/>
          <w:bCs/>
          <w:sz w:val="24"/>
          <w:szCs w:val="20"/>
          <w:lang w:eastAsia="pl-PL"/>
        </w:rPr>
        <w:t>dedykowane zabezpiecz</w:t>
      </w:r>
      <w:r w:rsidR="004D78FC">
        <w:rPr>
          <w:rFonts w:ascii="Times" w:eastAsia="Times New Roman" w:hAnsi="Times" w:cs="Arial"/>
          <w:bCs/>
          <w:sz w:val="24"/>
          <w:szCs w:val="20"/>
          <w:lang w:eastAsia="pl-PL"/>
        </w:rPr>
        <w:t>o</w:t>
      </w:r>
      <w:r w:rsidR="00A21E5B">
        <w:rPr>
          <w:rFonts w:ascii="Times" w:eastAsia="Times New Roman" w:hAnsi="Times" w:cs="Arial"/>
          <w:bCs/>
          <w:sz w:val="24"/>
          <w:szCs w:val="20"/>
          <w:lang w:eastAsia="pl-PL"/>
        </w:rPr>
        <w:t xml:space="preserve">ne </w:t>
      </w:r>
      <w:r w:rsidR="002F6B0A" w:rsidRPr="00ED0C91">
        <w:rPr>
          <w:rFonts w:ascii="Times" w:eastAsia="Times New Roman" w:hAnsi="Times" w:cs="Arial"/>
          <w:bCs/>
          <w:sz w:val="24"/>
          <w:szCs w:val="20"/>
          <w:lang w:eastAsia="pl-PL"/>
        </w:rPr>
        <w:t>punkt</w:t>
      </w:r>
      <w:r w:rsidR="00A21E5B">
        <w:rPr>
          <w:rFonts w:ascii="Times" w:eastAsia="Times New Roman" w:hAnsi="Times" w:cs="Arial"/>
          <w:bCs/>
          <w:sz w:val="24"/>
          <w:szCs w:val="20"/>
          <w:lang w:eastAsia="pl-PL"/>
        </w:rPr>
        <w:t>y</w:t>
      </w:r>
      <w:r w:rsidR="002F6B0A" w:rsidRPr="00ED0C91">
        <w:rPr>
          <w:rFonts w:ascii="Times" w:eastAsia="Times New Roman" w:hAnsi="Times" w:cs="Arial"/>
          <w:bCs/>
          <w:sz w:val="24"/>
          <w:szCs w:val="20"/>
          <w:lang w:eastAsia="pl-PL"/>
        </w:rPr>
        <w:t xml:space="preserve"> styku</w:t>
      </w:r>
      <w:r w:rsidR="00DE7B09">
        <w:rPr>
          <w:rFonts w:ascii="Times" w:eastAsia="Times New Roman" w:hAnsi="Times" w:cs="Arial"/>
          <w:bCs/>
          <w:sz w:val="24"/>
          <w:szCs w:val="20"/>
          <w:lang w:eastAsia="pl-PL"/>
        </w:rPr>
        <w:t>.</w:t>
      </w:r>
    </w:p>
    <w:p w14:paraId="403B672F" w14:textId="77777777" w:rsidR="002F6B0A" w:rsidRPr="00ED0C91" w:rsidRDefault="002F6B0A" w:rsidP="00D40B8C">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Zasoby teletransmisyjne wykorzystane do podłączenia odbiorców usług </w:t>
      </w:r>
      <w:r>
        <w:rPr>
          <w:rFonts w:ascii="Times" w:eastAsia="Times New Roman" w:hAnsi="Times" w:cs="Arial"/>
          <w:bCs/>
          <w:sz w:val="24"/>
          <w:szCs w:val="20"/>
          <w:lang w:eastAsia="pl-PL"/>
        </w:rPr>
        <w:t xml:space="preserve">przetwarzania w </w:t>
      </w:r>
      <w:r w:rsidRPr="00ED0C91">
        <w:rPr>
          <w:rFonts w:ascii="Times" w:eastAsia="Times New Roman" w:hAnsi="Times" w:cs="Arial"/>
          <w:bCs/>
          <w:sz w:val="24"/>
          <w:szCs w:val="20"/>
          <w:lang w:eastAsia="pl-PL"/>
        </w:rPr>
        <w:t>Rządowej Chmur</w:t>
      </w:r>
      <w:r>
        <w:rPr>
          <w:rFonts w:ascii="Times" w:eastAsia="Times New Roman" w:hAnsi="Times" w:cs="Arial"/>
          <w:bCs/>
          <w:sz w:val="24"/>
          <w:szCs w:val="20"/>
          <w:lang w:eastAsia="pl-PL"/>
        </w:rPr>
        <w:t>ze</w:t>
      </w:r>
      <w:r w:rsidRPr="00ED0C91">
        <w:rPr>
          <w:rFonts w:ascii="Times" w:eastAsia="Times New Roman" w:hAnsi="Times" w:cs="Arial"/>
          <w:bCs/>
          <w:sz w:val="24"/>
          <w:szCs w:val="20"/>
          <w:lang w:eastAsia="pl-PL"/>
        </w:rPr>
        <w:t xml:space="preserve"> Obliczeniowej oraz sposób ich finansowania będą każdorazowo uzgadniane między ministrem właściwym do spraw informatyzacji</w:t>
      </w:r>
      <w:r>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 a odbiorcą usług.</w:t>
      </w:r>
    </w:p>
    <w:p w14:paraId="41F23FBB"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 Operatorem RKB jest minister właściwy do spraw informatyzacji.</w:t>
      </w:r>
    </w:p>
    <w:p w14:paraId="0583B19E" w14:textId="77777777"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lastRenderedPageBreak/>
        <w:t>5. Operator RKB w szczególności:</w:t>
      </w:r>
    </w:p>
    <w:p w14:paraId="2841B538"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świadczy usługi bezpieczeństwa</w:t>
      </w:r>
      <w:r w:rsidR="00370329">
        <w:rPr>
          <w:rFonts w:ascii="Times" w:eastAsia="Times New Roman" w:hAnsi="Times" w:cs="Arial"/>
          <w:bCs/>
          <w:sz w:val="24"/>
          <w:szCs w:val="20"/>
          <w:lang w:eastAsia="pl-PL"/>
        </w:rPr>
        <w:t xml:space="preserve"> z wykorzystaniem środków technicznych i struktur organizacyjnych, w szczególności, o których mowa </w:t>
      </w:r>
      <w:r w:rsidR="00370329" w:rsidRPr="00ED0C91">
        <w:rPr>
          <w:rFonts w:ascii="Times" w:eastAsia="Times New Roman" w:hAnsi="Times" w:cs="Arial"/>
          <w:bCs/>
          <w:sz w:val="24"/>
          <w:szCs w:val="20"/>
          <w:lang w:eastAsia="pl-PL"/>
        </w:rPr>
        <w:t>w ust. 1 pkt 2</w:t>
      </w:r>
      <w:r w:rsidRPr="00ED0C91">
        <w:rPr>
          <w:rFonts w:ascii="Times" w:eastAsia="Times New Roman" w:hAnsi="Times" w:cs="Arial"/>
          <w:bCs/>
          <w:sz w:val="24"/>
          <w:szCs w:val="20"/>
          <w:lang w:eastAsia="pl-PL"/>
        </w:rPr>
        <w:t>;</w:t>
      </w:r>
    </w:p>
    <w:p w14:paraId="7BD1EF5F"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zapewnia utrzymanie i rozwój zespołów, o których mowa w ust. 1 pkt 2;</w:t>
      </w:r>
    </w:p>
    <w:p w14:paraId="3FD8FB09"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informuje właściwe podmioty o zagrożeniach bezpieczeństwa i incydentach;</w:t>
      </w:r>
    </w:p>
    <w:p w14:paraId="022354ED"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planuje rozwój usług RKB;</w:t>
      </w:r>
    </w:p>
    <w:p w14:paraId="207DB49B"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r>
      <w:r w:rsidR="00F14395">
        <w:rPr>
          <w:rFonts w:ascii="Times" w:eastAsia="Times New Roman" w:hAnsi="Times" w:cs="Arial"/>
          <w:bCs/>
          <w:sz w:val="24"/>
          <w:szCs w:val="20"/>
          <w:lang w:eastAsia="pl-PL"/>
        </w:rPr>
        <w:t xml:space="preserve">uzgadnia </w:t>
      </w:r>
      <w:r w:rsidRPr="00ED0C91">
        <w:rPr>
          <w:rFonts w:ascii="Times" w:eastAsia="Times New Roman" w:hAnsi="Times" w:cs="Arial"/>
          <w:bCs/>
          <w:sz w:val="24"/>
          <w:szCs w:val="20"/>
          <w:lang w:eastAsia="pl-PL"/>
        </w:rPr>
        <w:t>razem z operatorem sieci rządowej, p</w:t>
      </w:r>
      <w:r w:rsidR="00F14395">
        <w:rPr>
          <w:rFonts w:ascii="Times" w:eastAsia="Times New Roman" w:hAnsi="Times" w:cs="Arial"/>
          <w:bCs/>
          <w:sz w:val="24"/>
          <w:szCs w:val="20"/>
          <w:lang w:eastAsia="pl-PL"/>
        </w:rPr>
        <w:t>otrzeby</w:t>
      </w:r>
      <w:r w:rsidRPr="00ED0C91">
        <w:rPr>
          <w:rFonts w:ascii="Times" w:eastAsia="Times New Roman" w:hAnsi="Times" w:cs="Arial"/>
          <w:bCs/>
          <w:sz w:val="24"/>
          <w:szCs w:val="20"/>
          <w:lang w:eastAsia="pl-PL"/>
        </w:rPr>
        <w:t xml:space="preserve"> </w:t>
      </w:r>
      <w:r w:rsidR="008234D7">
        <w:rPr>
          <w:rFonts w:ascii="Times" w:eastAsia="Times New Roman" w:hAnsi="Times" w:cs="Arial"/>
          <w:bCs/>
          <w:sz w:val="24"/>
          <w:szCs w:val="20"/>
          <w:lang w:eastAsia="pl-PL"/>
        </w:rPr>
        <w:t xml:space="preserve">w zakresie </w:t>
      </w:r>
      <w:r w:rsidRPr="00ED0C91">
        <w:rPr>
          <w:rFonts w:ascii="Times" w:eastAsia="Times New Roman" w:hAnsi="Times" w:cs="Arial"/>
          <w:bCs/>
          <w:sz w:val="24"/>
          <w:szCs w:val="20"/>
          <w:lang w:eastAsia="pl-PL"/>
        </w:rPr>
        <w:t>wykorzystani</w:t>
      </w:r>
      <w:r w:rsidR="00F14395">
        <w:rPr>
          <w:rFonts w:ascii="Times" w:eastAsia="Times New Roman" w:hAnsi="Times" w:cs="Arial"/>
          <w:bCs/>
          <w:sz w:val="24"/>
          <w:szCs w:val="20"/>
          <w:lang w:eastAsia="pl-PL"/>
        </w:rPr>
        <w:t>a</w:t>
      </w:r>
      <w:r w:rsidRPr="00ED0C91">
        <w:rPr>
          <w:rFonts w:ascii="Times" w:eastAsia="Times New Roman" w:hAnsi="Times" w:cs="Arial"/>
          <w:bCs/>
          <w:sz w:val="24"/>
          <w:szCs w:val="20"/>
          <w:lang w:eastAsia="pl-PL"/>
        </w:rPr>
        <w:t xml:space="preserve"> łącz</w:t>
      </w:r>
      <w:r w:rsidR="00F14395">
        <w:rPr>
          <w:rFonts w:ascii="Times" w:eastAsia="Times New Roman" w:hAnsi="Times" w:cs="Arial"/>
          <w:bCs/>
          <w:sz w:val="24"/>
          <w:szCs w:val="20"/>
          <w:lang w:eastAsia="pl-PL"/>
        </w:rPr>
        <w:t>y tele</w:t>
      </w:r>
      <w:r w:rsidRPr="00ED0C91">
        <w:rPr>
          <w:rFonts w:ascii="Times" w:eastAsia="Times New Roman" w:hAnsi="Times" w:cs="Arial"/>
          <w:bCs/>
          <w:sz w:val="24"/>
          <w:szCs w:val="20"/>
          <w:lang w:eastAsia="pl-PL"/>
        </w:rPr>
        <w:t>transmis</w:t>
      </w:r>
      <w:r w:rsidR="00F14395">
        <w:rPr>
          <w:rFonts w:ascii="Times" w:eastAsia="Times New Roman" w:hAnsi="Times" w:cs="Arial"/>
          <w:bCs/>
          <w:sz w:val="24"/>
          <w:szCs w:val="20"/>
          <w:lang w:eastAsia="pl-PL"/>
        </w:rPr>
        <w:t>yjnych do wymiany danych w ramach</w:t>
      </w:r>
      <w:r w:rsidRPr="00ED0C91">
        <w:rPr>
          <w:rFonts w:ascii="Times" w:eastAsia="Times New Roman" w:hAnsi="Times" w:cs="Arial"/>
          <w:bCs/>
          <w:sz w:val="24"/>
          <w:szCs w:val="20"/>
          <w:lang w:eastAsia="pl-PL"/>
        </w:rPr>
        <w:t xml:space="preserve"> Rządowej Chmur</w:t>
      </w:r>
      <w:r w:rsidR="00F14395">
        <w:rPr>
          <w:rFonts w:ascii="Times" w:eastAsia="Times New Roman" w:hAnsi="Times" w:cs="Arial"/>
          <w:bCs/>
          <w:sz w:val="24"/>
          <w:szCs w:val="20"/>
          <w:lang w:eastAsia="pl-PL"/>
        </w:rPr>
        <w:t>y</w:t>
      </w:r>
      <w:r w:rsidRPr="00ED0C91">
        <w:rPr>
          <w:rFonts w:ascii="Times" w:eastAsia="Times New Roman" w:hAnsi="Times" w:cs="Arial"/>
          <w:bCs/>
          <w:sz w:val="24"/>
          <w:szCs w:val="20"/>
          <w:lang w:eastAsia="pl-PL"/>
        </w:rPr>
        <w:t xml:space="preserve"> Obliczeniowej;</w:t>
      </w:r>
    </w:p>
    <w:p w14:paraId="1186741B"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 xml:space="preserve">planuje rozwój i wykorzystanie </w:t>
      </w:r>
      <w:r w:rsidR="008234D7">
        <w:rPr>
          <w:rFonts w:ascii="Times" w:eastAsia="Times New Roman" w:hAnsi="Times" w:cs="Arial"/>
          <w:bCs/>
          <w:sz w:val="24"/>
          <w:szCs w:val="20"/>
          <w:lang w:eastAsia="pl-PL"/>
        </w:rPr>
        <w:t xml:space="preserve">zabezpieczonych </w:t>
      </w:r>
      <w:r w:rsidRPr="00ED0C91">
        <w:rPr>
          <w:rFonts w:ascii="Times" w:eastAsia="Times New Roman" w:hAnsi="Times" w:cs="Arial"/>
          <w:bCs/>
          <w:sz w:val="24"/>
          <w:szCs w:val="20"/>
          <w:lang w:eastAsia="pl-PL"/>
        </w:rPr>
        <w:t xml:space="preserve">punktów </w:t>
      </w:r>
      <w:r w:rsidR="008234D7">
        <w:rPr>
          <w:rFonts w:ascii="Times" w:eastAsia="Times New Roman" w:hAnsi="Times" w:cs="Arial"/>
          <w:bCs/>
          <w:sz w:val="24"/>
          <w:szCs w:val="20"/>
          <w:lang w:eastAsia="pl-PL"/>
        </w:rPr>
        <w:t>styku z publiczną siecią Internet dla usług świadczonych w Rządowej Chmurze Obliczeniowej</w:t>
      </w:r>
      <w:r w:rsidRPr="00ED0C91">
        <w:rPr>
          <w:rFonts w:ascii="Times" w:eastAsia="Times New Roman" w:hAnsi="Times" w:cs="Arial"/>
          <w:bCs/>
          <w:sz w:val="24"/>
          <w:szCs w:val="20"/>
          <w:lang w:eastAsia="pl-PL"/>
        </w:rPr>
        <w:t>.</w:t>
      </w:r>
    </w:p>
    <w:p w14:paraId="6E20F976"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  Minister właściwy do spraw informatyzacji może powierzyć realizację we własnym imieniu zadań, o których mowa w ust. 5, jednostce przez niego nadzorowanej lub innemu wybranemu podmiotowi, z zachowaniem procedur przewidzianych przepisami prawa.</w:t>
      </w:r>
    </w:p>
    <w:p w14:paraId="020F12EA" w14:textId="77777777"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8.</w:t>
      </w:r>
      <w:r w:rsidRPr="00ED0C91">
        <w:rPr>
          <w:rFonts w:ascii="Times" w:eastAsia="Times New Roman" w:hAnsi="Times" w:cs="Arial"/>
          <w:sz w:val="24"/>
          <w:szCs w:val="20"/>
          <w:lang w:eastAsia="pl-PL"/>
        </w:rPr>
        <w:t xml:space="preserve"> 1.Minister właściwy do spraw informatyzacji zapewnia funkcjonowanie Systemu Zapewnienia Usług Chmurowych, będącego systemem teleinformatycznym wspomagającym zamawianie oraz zarządzanie usługami przetwarzania w Rządowej Chmurze Obliczeniowej </w:t>
      </w:r>
      <w:r>
        <w:rPr>
          <w:rFonts w:ascii="Times" w:eastAsia="Times New Roman" w:hAnsi="Times" w:cs="Arial"/>
          <w:sz w:val="24"/>
          <w:szCs w:val="20"/>
          <w:lang w:eastAsia="pl-PL"/>
        </w:rPr>
        <w:br/>
      </w:r>
      <w:r w:rsidRPr="00ED0C91">
        <w:rPr>
          <w:rFonts w:ascii="Times" w:eastAsia="Times New Roman" w:hAnsi="Times" w:cs="Arial"/>
          <w:sz w:val="24"/>
          <w:szCs w:val="20"/>
          <w:lang w:eastAsia="pl-PL"/>
        </w:rPr>
        <w:t xml:space="preserve">i w publicznych chmurach obliczeniowych świadczonymi dla podmiotów, o których mowa </w:t>
      </w:r>
      <w:r>
        <w:rPr>
          <w:rFonts w:ascii="Times" w:eastAsia="Times New Roman" w:hAnsi="Times" w:cs="Arial"/>
          <w:sz w:val="24"/>
          <w:szCs w:val="20"/>
          <w:lang w:eastAsia="pl-PL"/>
        </w:rPr>
        <w:br/>
      </w:r>
      <w:r w:rsidRPr="00ED0C91">
        <w:rPr>
          <w:rFonts w:ascii="Times" w:eastAsia="Times New Roman" w:hAnsi="Times" w:cs="Arial"/>
          <w:sz w:val="24"/>
          <w:szCs w:val="20"/>
          <w:lang w:eastAsia="pl-PL"/>
        </w:rPr>
        <w:t>w § 6 ust. 1.</w:t>
      </w:r>
    </w:p>
    <w:p w14:paraId="175555FB" w14:textId="77777777"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W Systemie Zapewnienia Usług Chmurowych udostępnia się:</w:t>
      </w:r>
    </w:p>
    <w:p w14:paraId="3FD02FCA"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katalog usług przetwarzania w Rządowej Chmurze Obliczeniowej, regularnie aktualizowany;</w:t>
      </w:r>
    </w:p>
    <w:p w14:paraId="30C62C4E" w14:textId="77777777"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katalog usług przetwarzania w publicznych chmurach obliczeniowych, aktualizowany po przeprowadzeniu postępowania na zakup usług przetwarzania w publiczn</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chmur</w:t>
      </w:r>
      <w:r>
        <w:rPr>
          <w:rFonts w:ascii="Times" w:eastAsia="Times New Roman" w:hAnsi="Times" w:cs="Arial"/>
          <w:bCs/>
          <w:sz w:val="24"/>
          <w:szCs w:val="20"/>
          <w:lang w:eastAsia="pl-PL"/>
        </w:rPr>
        <w:t>ach</w:t>
      </w:r>
      <w:r w:rsidRPr="00ED0C91">
        <w:rPr>
          <w:rFonts w:ascii="Times" w:eastAsia="Times New Roman" w:hAnsi="Times" w:cs="Arial"/>
          <w:bCs/>
          <w:sz w:val="24"/>
          <w:szCs w:val="20"/>
          <w:lang w:eastAsia="pl-PL"/>
        </w:rPr>
        <w:t xml:space="preserve"> obliczeniow</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zgodnie z przepisami ustawy z dnia 29 stycznia 2004 r. – Prawo zamówień publicznych (Dz. U. z 2018 r. poz. 1986 i 2215</w:t>
      </w:r>
      <w:r>
        <w:rPr>
          <w:rFonts w:ascii="Times" w:eastAsia="Times New Roman" w:hAnsi="Times" w:cs="Arial"/>
          <w:bCs/>
          <w:sz w:val="24"/>
          <w:szCs w:val="20"/>
          <w:lang w:eastAsia="pl-PL"/>
        </w:rPr>
        <w:t xml:space="preserve"> oraz z 2019 r. poz. 730</w:t>
      </w:r>
      <w:r w:rsidRPr="00ED0C91">
        <w:rPr>
          <w:rFonts w:ascii="Times" w:eastAsia="Times New Roman" w:hAnsi="Times" w:cs="Arial"/>
          <w:bCs/>
          <w:sz w:val="24"/>
          <w:szCs w:val="20"/>
          <w:lang w:eastAsia="pl-PL"/>
        </w:rPr>
        <w:t>).</w:t>
      </w:r>
    </w:p>
    <w:p w14:paraId="3D9E7099"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Usługi przetwarzania w publicznych chmurach obliczeniowych będą umieszczane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katalogu, o którym mowa w ust. </w:t>
      </w:r>
      <w:r>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 xml:space="preserve"> pkt 2, po zawarciu umów.</w:t>
      </w:r>
    </w:p>
    <w:p w14:paraId="02526345"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4. Prowadzenie postępowań o zamówienia publiczne oraz zawieranie umów, o których mowa w ust. </w:t>
      </w:r>
      <w:r>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 realiz</w:t>
      </w:r>
      <w:r>
        <w:rPr>
          <w:rFonts w:ascii="Times" w:eastAsia="Times New Roman" w:hAnsi="Times" w:cs="Arial"/>
          <w:bCs/>
          <w:sz w:val="24"/>
          <w:szCs w:val="20"/>
          <w:lang w:eastAsia="pl-PL"/>
        </w:rPr>
        <w:t xml:space="preserve">owane będzie w zamówieniu wspólnym lub przez </w:t>
      </w:r>
      <w:r w:rsidRPr="00ED0C91">
        <w:rPr>
          <w:rFonts w:ascii="Times" w:eastAsia="Times New Roman" w:hAnsi="Times" w:cs="Arial"/>
          <w:bCs/>
          <w:sz w:val="24"/>
          <w:szCs w:val="20"/>
          <w:lang w:eastAsia="pl-PL"/>
        </w:rPr>
        <w:t>centraln</w:t>
      </w:r>
      <w:r>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zamawiając</w:t>
      </w:r>
      <w:r>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wskazan</w:t>
      </w:r>
      <w:r>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przez Prezesa Rady Ministrów, zgodnie z ustawą z dnia 29 stycznia 2004 r. – Prawo zamówień publicznych.</w:t>
      </w:r>
    </w:p>
    <w:p w14:paraId="2DB6FEB2"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w:t>
      </w:r>
      <w:r>
        <w:rPr>
          <w:rFonts w:ascii="Times" w:eastAsia="Times New Roman" w:hAnsi="Times" w:cs="Arial"/>
          <w:bCs/>
          <w:sz w:val="24"/>
          <w:szCs w:val="20"/>
          <w:lang w:eastAsia="pl-PL"/>
        </w:rPr>
        <w:t>Zamawiający wyznaczony do przeprowadzenia wspólnego zamówienia lub c</w:t>
      </w:r>
      <w:r w:rsidRPr="00ED0C91">
        <w:rPr>
          <w:rFonts w:ascii="Times" w:eastAsia="Times New Roman" w:hAnsi="Times" w:cs="Arial"/>
          <w:bCs/>
          <w:sz w:val="24"/>
          <w:szCs w:val="20"/>
          <w:lang w:eastAsia="pl-PL"/>
        </w:rPr>
        <w:t xml:space="preserve">entralny zamawiający, w celu zapewnienia podmiotom, o których mowa w § 6 ust. 1, nabywania </w:t>
      </w:r>
      <w:r w:rsidR="00B01202">
        <w:rPr>
          <w:rFonts w:ascii="Times" w:eastAsia="Times New Roman" w:hAnsi="Times" w:cs="Arial"/>
          <w:bCs/>
          <w:sz w:val="24"/>
          <w:szCs w:val="20"/>
          <w:lang w:eastAsia="pl-PL"/>
        </w:rPr>
        <w:t xml:space="preserve">wysoce </w:t>
      </w:r>
      <w:r w:rsidR="00B01202">
        <w:rPr>
          <w:rFonts w:ascii="Times" w:eastAsia="Times New Roman" w:hAnsi="Times" w:cs="Arial"/>
          <w:bCs/>
          <w:sz w:val="24"/>
          <w:szCs w:val="20"/>
          <w:lang w:eastAsia="pl-PL"/>
        </w:rPr>
        <w:lastRenderedPageBreak/>
        <w:t>skalowalnych i niezawodnych</w:t>
      </w:r>
      <w:r w:rsidRPr="00ED0C91">
        <w:rPr>
          <w:rFonts w:ascii="Times" w:eastAsia="Times New Roman" w:hAnsi="Times" w:cs="Arial"/>
          <w:bCs/>
          <w:sz w:val="24"/>
          <w:szCs w:val="20"/>
          <w:lang w:eastAsia="pl-PL"/>
        </w:rPr>
        <w:t xml:space="preserve"> usług przetwarzania w publicznych chmurach obliczeniowych, będzie ogłaszał postępowania o udzielenie zamówienia publicznego na świadczenie usług przetwarzania w publiczn</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chmur</w:t>
      </w:r>
      <w:r>
        <w:rPr>
          <w:rFonts w:ascii="Times" w:eastAsia="Times New Roman" w:hAnsi="Times" w:cs="Arial"/>
          <w:bCs/>
          <w:sz w:val="24"/>
          <w:szCs w:val="20"/>
          <w:lang w:eastAsia="pl-PL"/>
        </w:rPr>
        <w:t>ach</w:t>
      </w:r>
      <w:r w:rsidRPr="00ED0C91">
        <w:rPr>
          <w:rFonts w:ascii="Times" w:eastAsia="Times New Roman" w:hAnsi="Times" w:cs="Arial"/>
          <w:bCs/>
          <w:sz w:val="24"/>
          <w:szCs w:val="20"/>
          <w:lang w:eastAsia="pl-PL"/>
        </w:rPr>
        <w:t xml:space="preserve"> obliczeniow</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w:t>
      </w:r>
    </w:p>
    <w:p w14:paraId="6055C815" w14:textId="77777777"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9.</w:t>
      </w:r>
      <w:r w:rsidRPr="00ED0C91">
        <w:rPr>
          <w:rFonts w:ascii="Times" w:eastAsia="Times New Roman" w:hAnsi="Times" w:cs="Arial"/>
          <w:sz w:val="24"/>
          <w:szCs w:val="20"/>
          <w:lang w:eastAsia="pl-PL"/>
        </w:rPr>
        <w:t> 1. Źródłem Finansowania Inicjatywy WIIP będą środki budżetu państwa w ramach rezerwy celowej pod nazwą „Finansowanie Inicjatywy Wspólna Infrastruktura Informatyczna Państwa”.</w:t>
      </w:r>
    </w:p>
    <w:p w14:paraId="55E9C12B" w14:textId="24BBACA5"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w:t>
      </w:r>
      <w:r w:rsidR="00A4510C">
        <w:rPr>
          <w:rFonts w:ascii="Times" w:eastAsia="Times New Roman" w:hAnsi="Times" w:cs="Arial"/>
          <w:bCs/>
          <w:sz w:val="24"/>
          <w:szCs w:val="20"/>
          <w:lang w:eastAsia="pl-PL"/>
        </w:rPr>
        <w:t xml:space="preserve"> Podział rezerwy dokonywany jest zgodnie z przepisami ustawy z dnia</w:t>
      </w:r>
      <w:r w:rsidR="00051004">
        <w:rPr>
          <w:rFonts w:ascii="Times" w:eastAsia="Times New Roman" w:hAnsi="Times" w:cs="Arial"/>
          <w:bCs/>
          <w:sz w:val="24"/>
          <w:szCs w:val="20"/>
          <w:lang w:eastAsia="pl-PL"/>
        </w:rPr>
        <w:t xml:space="preserve"> </w:t>
      </w:r>
      <w:r w:rsidR="00457BC6" w:rsidRPr="00051004">
        <w:rPr>
          <w:rFonts w:ascii="Times" w:eastAsia="Times New Roman" w:hAnsi="Times" w:cs="Arial"/>
          <w:bCs/>
          <w:sz w:val="24"/>
          <w:szCs w:val="20"/>
          <w:lang w:eastAsia="pl-PL"/>
        </w:rPr>
        <w:t>27 sierpnia 2009 r.</w:t>
      </w:r>
      <w:r w:rsidR="00A4510C">
        <w:rPr>
          <w:rFonts w:ascii="Times" w:eastAsia="Times New Roman" w:hAnsi="Times" w:cs="Arial"/>
          <w:bCs/>
          <w:sz w:val="24"/>
          <w:szCs w:val="20"/>
          <w:lang w:eastAsia="pl-PL"/>
        </w:rPr>
        <w:t xml:space="preserve"> o finansach publicznych, przy czym minister właściwy do spraw informatyzacji dokonuje weryfikacji i akceptacji przedłożonych wniosków o podział rezerwy</w:t>
      </w:r>
      <w:r w:rsidR="0041349A">
        <w:rPr>
          <w:rFonts w:ascii="Times" w:eastAsia="Times New Roman" w:hAnsi="Times" w:cs="Arial"/>
          <w:bCs/>
          <w:sz w:val="24"/>
          <w:szCs w:val="20"/>
          <w:lang w:eastAsia="pl-PL"/>
        </w:rPr>
        <w:t>.</w:t>
      </w:r>
    </w:p>
    <w:p w14:paraId="03A46BE9"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Środki na rezerwę celową, o której mowa w ust. 1, będą pochodziły ze środków finansowych, które dotychczas były przeznaczone, a także były lub będą planowane na zapewnienie usług przetwarzania, pozwalających na rozwój i utrzymanie systemów teleinformatycznych przenoszonych na Rządową Chmurę Obliczeniową.</w:t>
      </w:r>
    </w:p>
    <w:p w14:paraId="55CC8297" w14:textId="77777777" w:rsidR="002F6B0A"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10.</w:t>
      </w:r>
      <w:r w:rsidRPr="00ED0C91">
        <w:rPr>
          <w:rFonts w:ascii="Times" w:eastAsia="Times New Roman" w:hAnsi="Times" w:cs="Arial"/>
          <w:sz w:val="24"/>
          <w:szCs w:val="20"/>
          <w:lang w:eastAsia="pl-PL"/>
        </w:rPr>
        <w:t> </w:t>
      </w:r>
      <w:r>
        <w:rPr>
          <w:rFonts w:ascii="Times" w:eastAsia="Times New Roman" w:hAnsi="Times" w:cs="Arial"/>
          <w:sz w:val="24"/>
          <w:szCs w:val="20"/>
          <w:lang w:eastAsia="pl-PL"/>
        </w:rPr>
        <w:t xml:space="preserve">1. </w:t>
      </w:r>
      <w:r w:rsidRPr="00ED0C91">
        <w:rPr>
          <w:rFonts w:ascii="Times" w:eastAsia="Times New Roman" w:hAnsi="Times" w:cs="Arial"/>
          <w:sz w:val="24"/>
          <w:szCs w:val="20"/>
          <w:lang w:eastAsia="pl-PL"/>
        </w:rPr>
        <w:t xml:space="preserve">Podmioty, o których mowa w § 6 ust. 1, projektując systemy teleinformatyczne, po wejściu w życie uchwały, </w:t>
      </w:r>
      <w:r>
        <w:rPr>
          <w:rFonts w:ascii="Times" w:eastAsia="Times New Roman" w:hAnsi="Times" w:cs="Arial"/>
          <w:sz w:val="24"/>
          <w:szCs w:val="20"/>
          <w:lang w:eastAsia="pl-PL"/>
        </w:rPr>
        <w:t xml:space="preserve">przeprowadzają klasyfikację, o której mowa w </w:t>
      </w:r>
      <w:r w:rsidRPr="00ED0C91">
        <w:rPr>
          <w:rFonts w:ascii="Times" w:eastAsia="Times New Roman" w:hAnsi="Times" w:cs="Arial"/>
          <w:sz w:val="24"/>
          <w:szCs w:val="20"/>
          <w:lang w:eastAsia="pl-PL"/>
        </w:rPr>
        <w:t>§</w:t>
      </w:r>
      <w:r>
        <w:rPr>
          <w:rFonts w:ascii="Times" w:eastAsia="Times New Roman" w:hAnsi="Times" w:cs="Arial"/>
          <w:sz w:val="24"/>
          <w:szCs w:val="20"/>
          <w:lang w:eastAsia="pl-PL"/>
        </w:rPr>
        <w:t xml:space="preserve"> 6 ust. 2.</w:t>
      </w:r>
    </w:p>
    <w:p w14:paraId="21BAB67F" w14:textId="77777777" w:rsidR="002F6B0A"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Pr>
          <w:rFonts w:ascii="Times" w:eastAsia="Times New Roman" w:hAnsi="Times" w:cs="Arial"/>
          <w:sz w:val="24"/>
          <w:szCs w:val="20"/>
          <w:lang w:eastAsia="pl-PL"/>
        </w:rPr>
        <w:t>2. Systemy teleinformatyczne spełniające kryteria klasyfikacji do korzystania z usług</w:t>
      </w:r>
      <w:r w:rsidRPr="005A1029">
        <w:rPr>
          <w:rFonts w:ascii="Times" w:eastAsia="Times New Roman" w:hAnsi="Times" w:cs="Arial"/>
          <w:bCs/>
          <w:sz w:val="24"/>
          <w:szCs w:val="20"/>
          <w:lang w:eastAsia="pl-PL"/>
        </w:rPr>
        <w:t xml:space="preserve"> </w:t>
      </w:r>
      <w:r>
        <w:rPr>
          <w:rFonts w:ascii="Times" w:eastAsia="Times New Roman" w:hAnsi="Times" w:cs="Arial"/>
          <w:bCs/>
          <w:sz w:val="24"/>
          <w:szCs w:val="20"/>
          <w:lang w:eastAsia="pl-PL"/>
        </w:rPr>
        <w:t>przetwarzania w Rządowej Chmury Obliczeniowej</w:t>
      </w:r>
      <w:r>
        <w:rPr>
          <w:rFonts w:ascii="Times" w:eastAsia="Times New Roman" w:hAnsi="Times" w:cs="Arial"/>
          <w:sz w:val="24"/>
          <w:szCs w:val="20"/>
          <w:lang w:eastAsia="pl-PL"/>
        </w:rPr>
        <w:t xml:space="preserve"> </w:t>
      </w:r>
      <w:r w:rsidRPr="00ED0C91">
        <w:rPr>
          <w:rFonts w:ascii="Times" w:eastAsia="Times New Roman" w:hAnsi="Times" w:cs="Arial"/>
          <w:sz w:val="24"/>
          <w:szCs w:val="20"/>
          <w:lang w:eastAsia="pl-PL"/>
        </w:rPr>
        <w:t>uzyskują opinię ministra właściwego do spraw informatyzacji w zakresie możliwości wykorzystania Rządowej Chmury Obliczeniowej.</w:t>
      </w:r>
    </w:p>
    <w:p w14:paraId="12F7DF3C" w14:textId="77777777"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11.</w:t>
      </w:r>
      <w:r w:rsidRPr="00ED0C91">
        <w:rPr>
          <w:rFonts w:ascii="Times" w:eastAsia="Times New Roman" w:hAnsi="Times" w:cs="Arial"/>
          <w:sz w:val="24"/>
          <w:szCs w:val="20"/>
          <w:lang w:eastAsia="pl-PL"/>
        </w:rPr>
        <w:t> 1. Minister właściwy do spraw informatyzacji w terminie do końca lutego danego roku występuje do podmiotów, o których mowa w § 6 ust. 1, o wskazanie wstępnego zapotrzebowania na usługi przetwarzania w Rządowej Chmurze Obliczeniowej, w roku następnym.</w:t>
      </w:r>
    </w:p>
    <w:p w14:paraId="4A3BC402"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2. Podmioty, o których mowa w § 6 ust. 1, w terminie do końca marca danego roku przekazują ministrowi właściwemu do spraw informatyzacji wstępne zapotrzebowanie,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o którym mowa w ust. 1.</w:t>
      </w:r>
    </w:p>
    <w:p w14:paraId="71DB57F1" w14:textId="77777777"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Minister właściwy do spraw informatyzacji w terminie do końca kwietnia danego roku ustala na podstawie zapotrzebowania, o którym mowa w ust. 2, wykaz usług przetwarzania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w Rządowej Chmurze Obliczeniowej na rok następny oraz prognozowany wykaz kosztów poszczególnych usług przetwarzania w Rządowej Chmurze Obliczeniowej i przekazuje je podmiotom, o których mowa w § 6 ust. 1.</w:t>
      </w:r>
    </w:p>
    <w:p w14:paraId="06C9A2E1" w14:textId="77777777"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12.</w:t>
      </w:r>
      <w:r w:rsidRPr="00ED0C91">
        <w:rPr>
          <w:rFonts w:ascii="Times" w:eastAsia="Times New Roman" w:hAnsi="Times" w:cs="Arial"/>
          <w:sz w:val="24"/>
          <w:szCs w:val="20"/>
          <w:lang w:eastAsia="pl-PL"/>
        </w:rPr>
        <w:t> Uchwała wchodzi w życie z dniem następującym po dniu ogłoszenia</w:t>
      </w:r>
      <w:r w:rsidR="00457BC6">
        <w:rPr>
          <w:rFonts w:ascii="Times" w:eastAsia="Times New Roman" w:hAnsi="Times" w:cs="Arial"/>
          <w:sz w:val="24"/>
          <w:szCs w:val="20"/>
          <w:lang w:eastAsia="pl-PL"/>
        </w:rPr>
        <w:t xml:space="preserve">, </w:t>
      </w:r>
      <w:r w:rsidR="009A6928">
        <w:rPr>
          <w:rFonts w:ascii="Times" w:eastAsia="Times New Roman" w:hAnsi="Times" w:cs="Arial"/>
          <w:sz w:val="24"/>
          <w:szCs w:val="20"/>
          <w:lang w:eastAsia="pl-PL"/>
        </w:rPr>
        <w:t>z wyjątkiem</w:t>
      </w:r>
      <w:r w:rsidR="009A6928" w:rsidRPr="009A6928">
        <w:rPr>
          <w:rFonts w:ascii="Times" w:eastAsia="Times New Roman" w:hAnsi="Times" w:cs="Arial"/>
          <w:sz w:val="24"/>
          <w:szCs w:val="20"/>
          <w:lang w:eastAsia="pl-PL"/>
        </w:rPr>
        <w:t xml:space="preserve"> </w:t>
      </w:r>
      <w:r w:rsidR="009A6928" w:rsidRPr="004912E3">
        <w:rPr>
          <w:rFonts w:ascii="Times" w:eastAsia="Times New Roman" w:hAnsi="Times" w:cs="Arial"/>
          <w:sz w:val="24"/>
          <w:szCs w:val="20"/>
          <w:lang w:eastAsia="pl-PL"/>
        </w:rPr>
        <w:t>§</w:t>
      </w:r>
      <w:r w:rsidR="004912E3">
        <w:rPr>
          <w:rFonts w:ascii="Times" w:eastAsia="Times New Roman" w:hAnsi="Times" w:cs="Arial"/>
          <w:sz w:val="24"/>
          <w:szCs w:val="20"/>
          <w:lang w:eastAsia="pl-PL"/>
        </w:rPr>
        <w:t> </w:t>
      </w:r>
      <w:r w:rsidR="009A6928" w:rsidRPr="004912E3">
        <w:rPr>
          <w:rFonts w:ascii="Times" w:eastAsia="Times New Roman" w:hAnsi="Times" w:cs="Arial"/>
          <w:sz w:val="24"/>
          <w:szCs w:val="20"/>
          <w:lang w:eastAsia="pl-PL"/>
        </w:rPr>
        <w:t>9, który wchodzi w życie z dniem 1 stycznia 2020 r</w:t>
      </w:r>
      <w:r w:rsidRPr="009A6928">
        <w:rPr>
          <w:rFonts w:ascii="Times" w:eastAsia="Times New Roman" w:hAnsi="Times" w:cs="Arial"/>
          <w:sz w:val="24"/>
          <w:szCs w:val="20"/>
          <w:lang w:eastAsia="pl-PL"/>
        </w:rPr>
        <w:t>.</w:t>
      </w:r>
    </w:p>
    <w:p w14:paraId="007A3BA1" w14:textId="77777777" w:rsidR="002F6B0A" w:rsidRDefault="002F6B0A" w:rsidP="002F6B0A">
      <w:pPr>
        <w:suppressAutoHyphens/>
        <w:autoSpaceDE w:val="0"/>
        <w:autoSpaceDN w:val="0"/>
        <w:adjustRightInd w:val="0"/>
        <w:spacing w:before="120" w:after="0" w:line="360" w:lineRule="auto"/>
        <w:jc w:val="both"/>
        <w:rPr>
          <w:rFonts w:ascii="Times" w:eastAsia="Times New Roman" w:hAnsi="Times" w:cs="Arial"/>
          <w:b/>
          <w:sz w:val="24"/>
          <w:szCs w:val="20"/>
          <w:lang w:eastAsia="pl-PL"/>
        </w:rPr>
      </w:pPr>
    </w:p>
    <w:p w14:paraId="6C4E3134" w14:textId="77777777" w:rsidR="00ED0C91" w:rsidRDefault="00ED0C91" w:rsidP="00ED0C91">
      <w:pPr>
        <w:keepNext/>
        <w:suppressAutoHyphens/>
        <w:spacing w:after="120" w:line="360" w:lineRule="auto"/>
        <w:ind w:left="4820"/>
        <w:jc w:val="center"/>
        <w:rPr>
          <w:rFonts w:ascii="Times" w:eastAsia="Times New Roman" w:hAnsi="Times" w:cs="Times New Roman"/>
          <w:b/>
          <w:bCs/>
          <w:caps/>
          <w:kern w:val="24"/>
          <w:sz w:val="24"/>
          <w:szCs w:val="24"/>
          <w:lang w:eastAsia="pl-PL"/>
        </w:rPr>
      </w:pPr>
    </w:p>
    <w:p w14:paraId="0EC28E0F" w14:textId="77777777" w:rsidR="00ED0C91" w:rsidRPr="00ED0C91" w:rsidRDefault="00ED0C91" w:rsidP="00ED0C91">
      <w:pPr>
        <w:keepNext/>
        <w:suppressAutoHyphens/>
        <w:spacing w:after="120" w:line="360" w:lineRule="auto"/>
        <w:ind w:left="4820"/>
        <w:jc w:val="center"/>
        <w:rPr>
          <w:rFonts w:ascii="Times" w:eastAsia="Times New Roman" w:hAnsi="Times" w:cs="Times New Roman"/>
          <w:b/>
          <w:bCs/>
          <w:caps/>
          <w:kern w:val="24"/>
          <w:sz w:val="24"/>
          <w:szCs w:val="24"/>
          <w:lang w:eastAsia="pl-PL"/>
        </w:rPr>
      </w:pPr>
      <w:r w:rsidRPr="00ED0C91">
        <w:rPr>
          <w:rFonts w:ascii="Times" w:eastAsia="Times New Roman" w:hAnsi="Times" w:cs="Times New Roman"/>
          <w:b/>
          <w:bCs/>
          <w:caps/>
          <w:kern w:val="24"/>
          <w:sz w:val="24"/>
          <w:szCs w:val="24"/>
          <w:lang w:eastAsia="pl-PL"/>
        </w:rPr>
        <w:t>PREZES RADY MINISTRÓW</w:t>
      </w:r>
    </w:p>
    <w:p w14:paraId="58D07F55" w14:textId="77777777" w:rsidR="00FF729E" w:rsidRDefault="00FF729E" w:rsidP="005542A5">
      <w:pPr>
        <w:widowControl w:val="0"/>
        <w:autoSpaceDE w:val="0"/>
        <w:autoSpaceDN w:val="0"/>
        <w:adjustRightInd w:val="0"/>
        <w:spacing w:after="0" w:line="240" w:lineRule="auto"/>
        <w:rPr>
          <w:rFonts w:ascii="Times New Roman" w:eastAsiaTheme="minorEastAsia" w:hAnsi="Times New Roman" w:cs="Arial"/>
          <w:b/>
          <w:sz w:val="20"/>
          <w:szCs w:val="20"/>
          <w:lang w:eastAsia="pl-PL"/>
        </w:rPr>
      </w:pPr>
      <w:bookmarkStart w:id="0" w:name="highlightHit_0"/>
      <w:bookmarkStart w:id="1" w:name="highlightHit_1"/>
      <w:bookmarkStart w:id="2" w:name="highlightHit_2"/>
      <w:bookmarkStart w:id="3" w:name="highlightHit_3"/>
      <w:bookmarkStart w:id="4" w:name="mip40495412"/>
      <w:bookmarkStart w:id="5" w:name="mip40495414"/>
      <w:bookmarkStart w:id="6" w:name="mip40495415"/>
      <w:bookmarkStart w:id="7" w:name="mip40495416"/>
      <w:bookmarkStart w:id="8" w:name="mip40495417"/>
      <w:bookmarkStart w:id="9" w:name="mip40495418"/>
      <w:bookmarkStart w:id="10" w:name="mip40495419"/>
      <w:bookmarkStart w:id="11" w:name="mip40495420"/>
      <w:bookmarkStart w:id="12" w:name="mip40495421"/>
      <w:bookmarkStart w:id="13" w:name="mip40495425"/>
      <w:bookmarkStart w:id="14" w:name="highlightHit_67"/>
      <w:bookmarkStart w:id="15" w:name="highlightHit_68"/>
      <w:bookmarkStart w:id="16" w:name="mip48894344"/>
      <w:bookmarkStart w:id="17" w:name="mip48894345"/>
      <w:bookmarkStart w:id="18" w:name="mip48894346"/>
      <w:bookmarkStart w:id="19" w:name="mip48894347"/>
      <w:bookmarkStart w:id="20" w:name="mip48894348"/>
      <w:bookmarkStart w:id="21" w:name="mip48894349"/>
      <w:bookmarkStart w:id="22" w:name="mip48894350"/>
      <w:bookmarkStart w:id="23" w:name="mip48894351"/>
      <w:bookmarkStart w:id="24" w:name="mip48894352"/>
      <w:bookmarkStart w:id="25" w:name="mip48894353"/>
      <w:bookmarkStart w:id="26" w:name="mip48894354"/>
      <w:bookmarkStart w:id="27" w:name="mip48894355"/>
      <w:bookmarkStart w:id="28" w:name="mip48894356"/>
      <w:bookmarkStart w:id="29" w:name="mip48894357"/>
      <w:bookmarkStart w:id="30" w:name="mip48894358"/>
      <w:bookmarkStart w:id="31" w:name="highlightHit_69"/>
      <w:bookmarkStart w:id="32" w:name="highlightHit_70"/>
      <w:bookmarkStart w:id="33" w:name="mip48894359"/>
      <w:bookmarkStart w:id="34" w:name="mip48894360"/>
      <w:bookmarkStart w:id="35" w:name="highlightHit_71"/>
      <w:bookmarkStart w:id="36" w:name="mip48894361"/>
      <w:bookmarkStart w:id="37" w:name="highlightHit_72"/>
      <w:bookmarkStart w:id="38" w:name="highlightHit_73"/>
      <w:bookmarkStart w:id="39" w:name="highlightHit_74"/>
      <w:bookmarkStart w:id="40" w:name="highlightHit_75"/>
      <w:bookmarkStart w:id="41" w:name="highlightHit_7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51B1CE53" w14:textId="77777777" w:rsidR="00647CC1" w:rsidRPr="00CE271A" w:rsidRDefault="00647CC1" w:rsidP="00CE271A">
      <w:pPr>
        <w:widowControl w:val="0"/>
        <w:autoSpaceDE w:val="0"/>
        <w:autoSpaceDN w:val="0"/>
        <w:adjustRightInd w:val="0"/>
        <w:spacing w:after="0" w:line="240" w:lineRule="auto"/>
        <w:rPr>
          <w:rFonts w:ascii="Times New Roman" w:eastAsiaTheme="minorEastAsia" w:hAnsi="Times New Roman" w:cs="Arial"/>
          <w:sz w:val="16"/>
          <w:szCs w:val="16"/>
          <w:lang w:eastAsia="pl-PL"/>
        </w:rPr>
      </w:pPr>
      <w:r>
        <w:rPr>
          <w:rFonts w:ascii="Times New Roman" w:hAnsi="Times New Roman" w:cs="Times New Roman"/>
          <w:sz w:val="24"/>
          <w:szCs w:val="24"/>
        </w:rPr>
        <w:br w:type="page"/>
      </w:r>
    </w:p>
    <w:p w14:paraId="2D4515F4" w14:textId="77777777"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lastRenderedPageBreak/>
        <w:t>Załączniki do uchwały Nr ….</w:t>
      </w:r>
    </w:p>
    <w:p w14:paraId="4E67F646" w14:textId="77777777"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t>Rady Ministrów</w:t>
      </w:r>
    </w:p>
    <w:p w14:paraId="055FC3F5" w14:textId="77777777"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t xml:space="preserve">z dnia </w:t>
      </w:r>
      <w:r w:rsidR="00A46FE1">
        <w:rPr>
          <w:rFonts w:ascii="Times New Roman" w:hAnsi="Times New Roman" w:cs="Times New Roman"/>
          <w:sz w:val="24"/>
          <w:szCs w:val="24"/>
        </w:rPr>
        <w:t>…………</w:t>
      </w:r>
      <w:r w:rsidRPr="00AE71F5">
        <w:rPr>
          <w:rFonts w:ascii="Times New Roman" w:hAnsi="Times New Roman" w:cs="Times New Roman"/>
          <w:sz w:val="24"/>
          <w:szCs w:val="24"/>
        </w:rPr>
        <w:t xml:space="preserve"> 2019 r.</w:t>
      </w:r>
      <w:r w:rsidR="00DA60BA">
        <w:rPr>
          <w:rFonts w:ascii="Times New Roman" w:hAnsi="Times New Roman" w:cs="Times New Roman"/>
          <w:sz w:val="24"/>
          <w:szCs w:val="24"/>
        </w:rPr>
        <w:t xml:space="preserve"> (poz. …)</w:t>
      </w:r>
    </w:p>
    <w:p w14:paraId="45ED5064" w14:textId="77777777" w:rsidR="007966EE" w:rsidRPr="00AE71F5" w:rsidRDefault="007966EE" w:rsidP="00AE71F5">
      <w:pPr>
        <w:autoSpaceDE w:val="0"/>
        <w:autoSpaceDN w:val="0"/>
        <w:spacing w:after="0" w:line="360" w:lineRule="auto"/>
        <w:ind w:left="6237"/>
        <w:jc w:val="both"/>
        <w:rPr>
          <w:rFonts w:ascii="Times New Roman" w:hAnsi="Times New Roman" w:cs="Times New Roman"/>
          <w:sz w:val="24"/>
          <w:szCs w:val="24"/>
        </w:rPr>
      </w:pPr>
    </w:p>
    <w:p w14:paraId="3C31E39F" w14:textId="77777777" w:rsidR="007966EE" w:rsidRPr="00AE71F5" w:rsidRDefault="007966EE" w:rsidP="00AE71F5">
      <w:pPr>
        <w:autoSpaceDE w:val="0"/>
        <w:autoSpaceDN w:val="0"/>
        <w:spacing w:after="0" w:line="360" w:lineRule="auto"/>
        <w:ind w:left="6237"/>
        <w:jc w:val="both"/>
        <w:rPr>
          <w:rFonts w:ascii="Times New Roman" w:hAnsi="Times New Roman" w:cs="Times New Roman"/>
          <w:sz w:val="24"/>
          <w:szCs w:val="24"/>
        </w:rPr>
      </w:pPr>
      <w:r w:rsidRPr="00AE71F5">
        <w:rPr>
          <w:rFonts w:ascii="Times New Roman" w:hAnsi="Times New Roman" w:cs="Times New Roman"/>
          <w:sz w:val="24"/>
          <w:szCs w:val="24"/>
        </w:rPr>
        <w:t>Załącznik nr 1</w:t>
      </w:r>
    </w:p>
    <w:p w14:paraId="60F615B0" w14:textId="77777777" w:rsidR="007966EE" w:rsidRPr="00AE71F5" w:rsidRDefault="007966EE" w:rsidP="000C3E33">
      <w:pPr>
        <w:autoSpaceDE w:val="0"/>
        <w:autoSpaceDN w:val="0"/>
        <w:spacing w:after="0" w:line="360" w:lineRule="auto"/>
        <w:jc w:val="both"/>
        <w:rPr>
          <w:rFonts w:ascii="Times New Roman" w:hAnsi="Times New Roman" w:cs="Times New Roman"/>
          <w:b/>
          <w:bCs/>
          <w:sz w:val="24"/>
          <w:szCs w:val="24"/>
        </w:rPr>
      </w:pPr>
    </w:p>
    <w:p w14:paraId="5BAAF35A" w14:textId="77777777" w:rsidR="007966EE" w:rsidRPr="00AE71F5" w:rsidRDefault="007966EE" w:rsidP="00AE71F5">
      <w:pPr>
        <w:spacing w:after="0" w:line="360" w:lineRule="auto"/>
        <w:jc w:val="center"/>
        <w:rPr>
          <w:rFonts w:ascii="Times New Roman" w:hAnsi="Times New Roman" w:cs="Times New Roman"/>
          <w:b/>
          <w:sz w:val="24"/>
          <w:szCs w:val="24"/>
        </w:rPr>
      </w:pPr>
      <w:r w:rsidRPr="00AE71F5">
        <w:rPr>
          <w:rFonts w:ascii="Times New Roman" w:hAnsi="Times New Roman" w:cs="Times New Roman"/>
          <w:b/>
          <w:sz w:val="24"/>
          <w:szCs w:val="24"/>
        </w:rPr>
        <w:t xml:space="preserve">Minimalne wymagania organizacyjne i techniczne dla </w:t>
      </w:r>
      <w:r w:rsidR="00AE71F5">
        <w:rPr>
          <w:rFonts w:ascii="Times New Roman" w:hAnsi="Times New Roman" w:cs="Times New Roman"/>
          <w:b/>
          <w:sz w:val="24"/>
          <w:szCs w:val="24"/>
        </w:rPr>
        <w:t>posiadaczy</w:t>
      </w:r>
      <w:r w:rsidRPr="00AE71F5">
        <w:rPr>
          <w:rFonts w:ascii="Times New Roman" w:hAnsi="Times New Roman" w:cs="Times New Roman"/>
          <w:b/>
          <w:sz w:val="24"/>
          <w:szCs w:val="24"/>
        </w:rPr>
        <w:t xml:space="preserve"> CPD oraz ich obiektów</w:t>
      </w:r>
      <w:r w:rsidR="004D13C4">
        <w:rPr>
          <w:rFonts w:ascii="Times New Roman" w:hAnsi="Times New Roman" w:cs="Times New Roman"/>
          <w:b/>
          <w:sz w:val="24"/>
          <w:szCs w:val="24"/>
        </w:rPr>
        <w:t xml:space="preserve"> CPD</w:t>
      </w:r>
      <w:r w:rsidRPr="00AE71F5">
        <w:rPr>
          <w:rFonts w:ascii="Times New Roman" w:hAnsi="Times New Roman" w:cs="Times New Roman"/>
          <w:b/>
          <w:sz w:val="24"/>
          <w:szCs w:val="24"/>
        </w:rPr>
        <w:t xml:space="preserve"> przyłączonych do </w:t>
      </w:r>
      <w:r w:rsidR="002955A2" w:rsidRPr="00AE71F5">
        <w:rPr>
          <w:rFonts w:ascii="Times New Roman" w:hAnsi="Times New Roman" w:cs="Times New Roman"/>
          <w:b/>
          <w:sz w:val="24"/>
          <w:szCs w:val="24"/>
        </w:rPr>
        <w:t>Rządowej Chmury Obliczeniowej</w:t>
      </w:r>
    </w:p>
    <w:p w14:paraId="4846AB8C" w14:textId="77777777" w:rsidR="007966EE" w:rsidRPr="00AE71F5" w:rsidRDefault="007966EE" w:rsidP="00AE71F5">
      <w:pPr>
        <w:spacing w:after="0" w:line="360" w:lineRule="auto"/>
        <w:rPr>
          <w:rFonts w:ascii="Times New Roman" w:hAnsi="Times New Roman" w:cs="Times New Roman"/>
          <w:sz w:val="24"/>
          <w:szCs w:val="24"/>
        </w:rPr>
      </w:pPr>
    </w:p>
    <w:p w14:paraId="5A2FEA42" w14:textId="77777777" w:rsidR="00A82705" w:rsidRPr="00AE71F5" w:rsidRDefault="007966EE" w:rsidP="00AE71F5">
      <w:p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1.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 w zakresie świadczenia usług przetwarzania danych w </w:t>
      </w:r>
      <w:r w:rsidR="002955A2" w:rsidRPr="00AE71F5">
        <w:rPr>
          <w:rFonts w:ascii="Times New Roman" w:hAnsi="Times New Roman" w:cs="Times New Roman"/>
          <w:sz w:val="24"/>
          <w:szCs w:val="24"/>
        </w:rPr>
        <w:t>Rządowej Chmurze Obliczeniowej</w:t>
      </w:r>
      <w:r w:rsidRPr="00AE71F5">
        <w:rPr>
          <w:rFonts w:ascii="Times New Roman" w:hAnsi="Times New Roman" w:cs="Times New Roman"/>
          <w:sz w:val="24"/>
          <w:szCs w:val="24"/>
        </w:rPr>
        <w:t xml:space="preserve"> spełnia wymagania zapewnienia zgodności swojego działania </w:t>
      </w:r>
      <w:r w:rsidR="00890F7F">
        <w:rPr>
          <w:rFonts w:ascii="Times New Roman" w:hAnsi="Times New Roman" w:cs="Times New Roman"/>
          <w:sz w:val="24"/>
          <w:szCs w:val="24"/>
        </w:rPr>
        <w:t>określon</w:t>
      </w:r>
      <w:r w:rsidR="008120A8">
        <w:rPr>
          <w:rFonts w:ascii="Times New Roman" w:hAnsi="Times New Roman" w:cs="Times New Roman"/>
          <w:sz w:val="24"/>
          <w:szCs w:val="24"/>
        </w:rPr>
        <w:t>e</w:t>
      </w:r>
      <w:r w:rsidR="00890F7F">
        <w:rPr>
          <w:rFonts w:ascii="Times New Roman" w:hAnsi="Times New Roman" w:cs="Times New Roman"/>
          <w:sz w:val="24"/>
          <w:szCs w:val="24"/>
        </w:rPr>
        <w:t xml:space="preserve"> w Kraj</w:t>
      </w:r>
      <w:r w:rsidR="007F0D8B">
        <w:rPr>
          <w:rFonts w:ascii="Times New Roman" w:hAnsi="Times New Roman" w:cs="Times New Roman"/>
          <w:sz w:val="24"/>
          <w:szCs w:val="24"/>
        </w:rPr>
        <w:t>owych Ramach Interoperacyjności</w:t>
      </w:r>
      <w:r w:rsidR="00A82705" w:rsidRPr="00A82705">
        <w:t xml:space="preserve"> </w:t>
      </w:r>
      <w:r w:rsidR="00A82705" w:rsidRPr="00A82705">
        <w:rPr>
          <w:rFonts w:ascii="Times New Roman" w:hAnsi="Times New Roman" w:cs="Times New Roman"/>
          <w:sz w:val="24"/>
          <w:szCs w:val="24"/>
        </w:rPr>
        <w:t xml:space="preserve">i </w:t>
      </w:r>
      <w:r w:rsidR="008120A8">
        <w:rPr>
          <w:rFonts w:ascii="Times New Roman" w:hAnsi="Times New Roman" w:cs="Times New Roman"/>
          <w:sz w:val="24"/>
          <w:szCs w:val="24"/>
        </w:rPr>
        <w:t>u</w:t>
      </w:r>
      <w:r w:rsidR="00A82705" w:rsidRPr="00A82705">
        <w:rPr>
          <w:rFonts w:ascii="Times New Roman" w:hAnsi="Times New Roman" w:cs="Times New Roman"/>
          <w:sz w:val="24"/>
          <w:szCs w:val="24"/>
        </w:rPr>
        <w:t>stawie o ochronie danych osobowych</w:t>
      </w:r>
      <w:r w:rsidR="007F0D8B">
        <w:rPr>
          <w:rFonts w:ascii="Times New Roman" w:hAnsi="Times New Roman" w:cs="Times New Roman"/>
          <w:sz w:val="24"/>
          <w:szCs w:val="24"/>
        </w:rPr>
        <w:t xml:space="preserve">, w tym minimum </w:t>
      </w:r>
      <w:r w:rsidRPr="00AE71F5">
        <w:rPr>
          <w:rFonts w:ascii="Times New Roman" w:hAnsi="Times New Roman" w:cs="Times New Roman"/>
          <w:sz w:val="24"/>
          <w:szCs w:val="24"/>
        </w:rPr>
        <w:t>poniższy</w:t>
      </w:r>
      <w:r w:rsidR="007F0D8B">
        <w:rPr>
          <w:rFonts w:ascii="Times New Roman" w:hAnsi="Times New Roman" w:cs="Times New Roman"/>
          <w:sz w:val="24"/>
          <w:szCs w:val="24"/>
        </w:rPr>
        <w:t>ch</w:t>
      </w:r>
      <w:r w:rsidRPr="00AE71F5">
        <w:rPr>
          <w:rFonts w:ascii="Times New Roman" w:hAnsi="Times New Roman" w:cs="Times New Roman"/>
          <w:sz w:val="24"/>
          <w:szCs w:val="24"/>
        </w:rPr>
        <w:t xml:space="preserve"> </w:t>
      </w:r>
      <w:r w:rsidR="007F0D8B" w:rsidRPr="00AE71F5">
        <w:rPr>
          <w:rFonts w:ascii="Times New Roman" w:hAnsi="Times New Roman" w:cs="Times New Roman"/>
          <w:sz w:val="24"/>
          <w:szCs w:val="24"/>
        </w:rPr>
        <w:t>standard</w:t>
      </w:r>
      <w:r w:rsidR="007F0D8B">
        <w:rPr>
          <w:rFonts w:ascii="Times New Roman" w:hAnsi="Times New Roman" w:cs="Times New Roman"/>
          <w:sz w:val="24"/>
          <w:szCs w:val="24"/>
        </w:rPr>
        <w:t>ów</w:t>
      </w:r>
      <w:r w:rsidR="007F0D8B" w:rsidRPr="00AE71F5">
        <w:rPr>
          <w:rFonts w:ascii="Times New Roman" w:hAnsi="Times New Roman" w:cs="Times New Roman"/>
          <w:sz w:val="24"/>
          <w:szCs w:val="24"/>
        </w:rPr>
        <w:t xml:space="preserve"> </w:t>
      </w:r>
      <w:r w:rsidRPr="00AE71F5">
        <w:rPr>
          <w:rFonts w:ascii="Times New Roman" w:hAnsi="Times New Roman" w:cs="Times New Roman"/>
          <w:sz w:val="24"/>
          <w:szCs w:val="24"/>
        </w:rPr>
        <w:t xml:space="preserve">lub ich </w:t>
      </w:r>
      <w:r w:rsidR="007F0D8B" w:rsidRPr="00AE71F5">
        <w:rPr>
          <w:rFonts w:ascii="Times New Roman" w:hAnsi="Times New Roman" w:cs="Times New Roman"/>
          <w:sz w:val="24"/>
          <w:szCs w:val="24"/>
        </w:rPr>
        <w:t>odpowiednik</w:t>
      </w:r>
      <w:r w:rsidR="007F0D8B">
        <w:rPr>
          <w:rFonts w:ascii="Times New Roman" w:hAnsi="Times New Roman" w:cs="Times New Roman"/>
          <w:sz w:val="24"/>
          <w:szCs w:val="24"/>
        </w:rPr>
        <w:t>ów</w:t>
      </w:r>
      <w:r w:rsidR="007F0D8B" w:rsidRPr="00AE71F5">
        <w:rPr>
          <w:rFonts w:ascii="Times New Roman" w:hAnsi="Times New Roman" w:cs="Times New Roman"/>
          <w:sz w:val="24"/>
          <w:szCs w:val="24"/>
        </w:rPr>
        <w:t xml:space="preserve"> </w:t>
      </w:r>
      <w:r w:rsidRPr="00AE71F5">
        <w:rPr>
          <w:rFonts w:ascii="Times New Roman" w:hAnsi="Times New Roman" w:cs="Times New Roman"/>
          <w:sz w:val="24"/>
          <w:szCs w:val="24"/>
        </w:rPr>
        <w:t>w polskim lub europejskim układzie normalizacji:</w:t>
      </w:r>
    </w:p>
    <w:p w14:paraId="7B3ABBFE" w14:textId="77777777" w:rsidR="00A82705" w:rsidRPr="00FC763E" w:rsidRDefault="00A82705" w:rsidP="004912E3">
      <w:pPr>
        <w:pStyle w:val="Akapitzlist"/>
        <w:numPr>
          <w:ilvl w:val="0"/>
          <w:numId w:val="2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PN-EN ISO/IEC 27001 dotyczące zarządzania bezpieczeństwem informacji;</w:t>
      </w:r>
    </w:p>
    <w:p w14:paraId="174AED32" w14:textId="77777777" w:rsidR="00A82705" w:rsidRDefault="00A82705" w:rsidP="004912E3">
      <w:pPr>
        <w:pStyle w:val="Akapitzlist"/>
        <w:numPr>
          <w:ilvl w:val="0"/>
          <w:numId w:val="2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PN-EN ISO 22301 dotyczące zarządzania ciągłością działania;</w:t>
      </w:r>
    </w:p>
    <w:p w14:paraId="307A5CA0" w14:textId="77777777" w:rsidR="00A82705" w:rsidRPr="00FC763E" w:rsidRDefault="00A82705" w:rsidP="004912E3">
      <w:pPr>
        <w:pStyle w:val="Akapitzlist"/>
        <w:numPr>
          <w:ilvl w:val="0"/>
          <w:numId w:val="2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PN-ISO/IEC 27005 dotyczące zarządzania ryzykiem w bezpieczeństwie informacji.</w:t>
      </w:r>
    </w:p>
    <w:p w14:paraId="61402836" w14:textId="77777777"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2. CPD spełnia wymagania:</w:t>
      </w:r>
    </w:p>
    <w:p w14:paraId="75538165" w14:textId="77777777" w:rsidR="007966EE" w:rsidRPr="00AE71F5" w:rsidRDefault="00220B9B" w:rsidP="004912E3">
      <w:pPr>
        <w:pStyle w:val="Akapitzlist"/>
        <w:numPr>
          <w:ilvl w:val="0"/>
          <w:numId w:val="2"/>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00E14960" w:rsidRPr="00AE71F5">
        <w:rPr>
          <w:rFonts w:ascii="Times New Roman" w:hAnsi="Times New Roman" w:cs="Times New Roman"/>
          <w:sz w:val="24"/>
          <w:szCs w:val="24"/>
        </w:rPr>
        <w:t xml:space="preserve">biekt CPD </w:t>
      </w:r>
      <w:r w:rsidR="00AE71F5">
        <w:rPr>
          <w:rFonts w:ascii="Times New Roman" w:hAnsi="Times New Roman" w:cs="Times New Roman"/>
          <w:sz w:val="24"/>
          <w:szCs w:val="24"/>
        </w:rPr>
        <w:t>jest</w:t>
      </w:r>
      <w:r w:rsidR="00E14960" w:rsidRPr="00AE71F5">
        <w:rPr>
          <w:rFonts w:ascii="Times New Roman" w:hAnsi="Times New Roman" w:cs="Times New Roman"/>
          <w:sz w:val="24"/>
          <w:szCs w:val="24"/>
        </w:rPr>
        <w:t xml:space="preserve"> własnością skarbu państwa albo jednostek samorządu terytorialnego albo państwowych lub samorządowych osób prawnych lub udział w prawie własności tych podmiotów wynosi co najmniej 51%</w:t>
      </w:r>
      <w:r w:rsidR="007966EE" w:rsidRPr="00AE71F5">
        <w:rPr>
          <w:rFonts w:ascii="Times New Roman" w:hAnsi="Times New Roman" w:cs="Times New Roman"/>
          <w:sz w:val="24"/>
          <w:szCs w:val="24"/>
        </w:rPr>
        <w:t>;</w:t>
      </w:r>
    </w:p>
    <w:p w14:paraId="1F980178" w14:textId="77777777" w:rsidR="007966EE" w:rsidRPr="00AE71F5" w:rsidRDefault="00AE71F5" w:rsidP="004912E3">
      <w:pPr>
        <w:pStyle w:val="Akapitzlist"/>
        <w:numPr>
          <w:ilvl w:val="0"/>
          <w:numId w:val="2"/>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klasa obiektu</w:t>
      </w:r>
      <w:r w:rsidR="007966EE" w:rsidRPr="00AE71F5">
        <w:rPr>
          <w:rFonts w:ascii="Times New Roman" w:hAnsi="Times New Roman" w:cs="Times New Roman"/>
          <w:sz w:val="24"/>
          <w:szCs w:val="24"/>
        </w:rPr>
        <w:t xml:space="preserve"> CPD wynosi minimum 3 według PN-EN 50600 w kategoriach: dostępność, zabezpieczenie przed nieuprawnionym dostępem, zabezpieczenie przed zagrożeniami środowiskowymi, potwierdzona oświadczeniem</w:t>
      </w:r>
      <w:r>
        <w:rPr>
          <w:rFonts w:ascii="Times New Roman" w:hAnsi="Times New Roman" w:cs="Times New Roman"/>
          <w:sz w:val="24"/>
          <w:szCs w:val="24"/>
        </w:rPr>
        <w:t xml:space="preserve"> posiadacza </w:t>
      </w:r>
      <w:r w:rsidR="007966EE" w:rsidRPr="00AE71F5">
        <w:rPr>
          <w:rFonts w:ascii="Times New Roman" w:hAnsi="Times New Roman" w:cs="Times New Roman"/>
          <w:sz w:val="24"/>
          <w:szCs w:val="24"/>
        </w:rPr>
        <w:t>obiektu albo odpowiednim certyfikatem zgodności;</w:t>
      </w:r>
    </w:p>
    <w:p w14:paraId="257D2326" w14:textId="77777777" w:rsidR="007966EE" w:rsidRPr="00AE71F5" w:rsidRDefault="007966EE" w:rsidP="004912E3">
      <w:pPr>
        <w:pStyle w:val="Akapitzlist"/>
        <w:numPr>
          <w:ilvl w:val="0"/>
          <w:numId w:val="2"/>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w CPD istnieje węzeł </w:t>
      </w:r>
      <w:r w:rsidR="00B62636">
        <w:rPr>
          <w:rFonts w:ascii="Times New Roman" w:hAnsi="Times New Roman" w:cs="Times New Roman"/>
          <w:sz w:val="24"/>
          <w:szCs w:val="24"/>
        </w:rPr>
        <w:t>s</w:t>
      </w:r>
      <w:r w:rsidRPr="00AE71F5">
        <w:rPr>
          <w:rFonts w:ascii="Times New Roman" w:hAnsi="Times New Roman" w:cs="Times New Roman"/>
          <w:sz w:val="24"/>
          <w:szCs w:val="24"/>
        </w:rPr>
        <w:t>ieci</w:t>
      </w:r>
      <w:r w:rsidR="00B62636">
        <w:rPr>
          <w:rFonts w:ascii="Times New Roman" w:hAnsi="Times New Roman" w:cs="Times New Roman"/>
          <w:sz w:val="24"/>
          <w:szCs w:val="24"/>
        </w:rPr>
        <w:t xml:space="preserve"> r</w:t>
      </w:r>
      <w:r w:rsidRPr="00AE71F5">
        <w:rPr>
          <w:rFonts w:ascii="Times New Roman" w:hAnsi="Times New Roman" w:cs="Times New Roman"/>
          <w:sz w:val="24"/>
          <w:szCs w:val="24"/>
        </w:rPr>
        <w:t xml:space="preserve">ządowej lub </w:t>
      </w:r>
      <w:r w:rsidR="00AE71F5">
        <w:rPr>
          <w:rFonts w:ascii="Times New Roman" w:hAnsi="Times New Roman" w:cs="Times New Roman"/>
          <w:sz w:val="24"/>
          <w:szCs w:val="24"/>
        </w:rPr>
        <w:t xml:space="preserve">występuje </w:t>
      </w:r>
      <w:r w:rsidRPr="00AE71F5">
        <w:rPr>
          <w:rFonts w:ascii="Times New Roman" w:hAnsi="Times New Roman" w:cs="Times New Roman"/>
          <w:sz w:val="24"/>
          <w:szCs w:val="24"/>
        </w:rPr>
        <w:t xml:space="preserve">możliwość jego zbudowania w ciągu 1 roku od dnia podjęcia decyzji o przyłączeniu </w:t>
      </w:r>
      <w:r w:rsidR="00AE71F5">
        <w:rPr>
          <w:rFonts w:ascii="Times New Roman" w:hAnsi="Times New Roman" w:cs="Times New Roman"/>
          <w:sz w:val="24"/>
          <w:szCs w:val="24"/>
        </w:rPr>
        <w:t xml:space="preserve">CPD </w:t>
      </w:r>
      <w:r w:rsidRPr="00AE71F5">
        <w:rPr>
          <w:rFonts w:ascii="Times New Roman" w:hAnsi="Times New Roman" w:cs="Times New Roman"/>
          <w:sz w:val="24"/>
          <w:szCs w:val="24"/>
        </w:rPr>
        <w:t xml:space="preserve">do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 potwierdzona przez ministra właściwego do spraw wewnętrznych;</w:t>
      </w:r>
    </w:p>
    <w:p w14:paraId="4CBA3861" w14:textId="77777777" w:rsidR="007966EE" w:rsidRPr="00AE71F5" w:rsidRDefault="00B15EA1" w:rsidP="004912E3">
      <w:pPr>
        <w:pStyle w:val="Akapitzlist"/>
        <w:numPr>
          <w:ilvl w:val="0"/>
          <w:numId w:val="2"/>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istnieje techniczna </w:t>
      </w:r>
      <w:r w:rsidR="007966EE" w:rsidRPr="00AE71F5">
        <w:rPr>
          <w:rFonts w:ascii="Times New Roman" w:hAnsi="Times New Roman" w:cs="Times New Roman"/>
          <w:sz w:val="24"/>
          <w:szCs w:val="24"/>
        </w:rPr>
        <w:t xml:space="preserve">możliwość wydzielenia w CPD dedykowanej komory lub klatki </w:t>
      </w:r>
      <w:r w:rsidR="008120A8">
        <w:rPr>
          <w:rFonts w:ascii="Times New Roman" w:hAnsi="Times New Roman" w:cs="Times New Roman"/>
          <w:sz w:val="24"/>
          <w:szCs w:val="24"/>
        </w:rPr>
        <w:br/>
      </w:r>
      <w:r w:rsidR="007966EE" w:rsidRPr="00AE71F5">
        <w:rPr>
          <w:rFonts w:ascii="Times New Roman" w:hAnsi="Times New Roman" w:cs="Times New Roman"/>
          <w:sz w:val="24"/>
          <w:szCs w:val="24"/>
        </w:rPr>
        <w:t xml:space="preserve">w komorze na potrzeby infrastruktury </w:t>
      </w:r>
      <w:r w:rsidR="002955A2" w:rsidRPr="00AE71F5">
        <w:rPr>
          <w:rFonts w:ascii="Times New Roman" w:hAnsi="Times New Roman" w:cs="Times New Roman"/>
          <w:sz w:val="24"/>
          <w:szCs w:val="24"/>
        </w:rPr>
        <w:t>Rządowej Chmury Obliczeniowej</w:t>
      </w:r>
      <w:r w:rsidR="007966EE" w:rsidRPr="00AE71F5">
        <w:rPr>
          <w:rFonts w:ascii="Times New Roman" w:hAnsi="Times New Roman" w:cs="Times New Roman"/>
          <w:sz w:val="24"/>
          <w:szCs w:val="24"/>
        </w:rPr>
        <w:t xml:space="preserve"> oraz zabezpieczenie rezerwy mocy nie mniej niż 2,5 kW/m2 wydzielonej powierzchni;</w:t>
      </w:r>
    </w:p>
    <w:p w14:paraId="1F11B755" w14:textId="77777777" w:rsidR="007966EE" w:rsidRPr="00AE71F5" w:rsidRDefault="007966EE" w:rsidP="004912E3">
      <w:pPr>
        <w:pStyle w:val="Akapitzlist"/>
        <w:numPr>
          <w:ilvl w:val="0"/>
          <w:numId w:val="2"/>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CPD jest zapewniona ochrona fizyczna obiektu;</w:t>
      </w:r>
    </w:p>
    <w:p w14:paraId="05B30668" w14:textId="77777777" w:rsidR="007966EE" w:rsidRPr="00FC763E" w:rsidRDefault="007966EE" w:rsidP="004912E3">
      <w:pPr>
        <w:pStyle w:val="Akapitzlist"/>
        <w:numPr>
          <w:ilvl w:val="0"/>
          <w:numId w:val="2"/>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lastRenderedPageBreak/>
        <w:t xml:space="preserve">CPD posiada system monitorowania pomieszczeń oraz nadzorowania ruchu osób umożliwiający generowanie raportów pozwalających na weryfikację dostępu fizycznego osób do urządzeń infrastruktury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w:t>
      </w:r>
    </w:p>
    <w:p w14:paraId="4009850B" w14:textId="77777777"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3. Infrastruktura sieci łączności CPD spełnia wymagania:</w:t>
      </w:r>
    </w:p>
    <w:p w14:paraId="4841D8DA" w14:textId="77777777" w:rsidR="00CB2490" w:rsidRDefault="00CB2490" w:rsidP="00011790">
      <w:pPr>
        <w:pStyle w:val="Akapitzlist"/>
        <w:numPr>
          <w:ilvl w:val="0"/>
          <w:numId w:val="3"/>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dostęp do </w:t>
      </w:r>
      <w:r w:rsidR="00A82705">
        <w:rPr>
          <w:rFonts w:ascii="Times New Roman" w:hAnsi="Times New Roman" w:cs="Times New Roman"/>
          <w:sz w:val="24"/>
          <w:szCs w:val="24"/>
        </w:rPr>
        <w:t xml:space="preserve">dedykowanej </w:t>
      </w:r>
      <w:r w:rsidR="00B62636">
        <w:rPr>
          <w:rFonts w:ascii="Times New Roman" w:hAnsi="Times New Roman" w:cs="Times New Roman"/>
          <w:sz w:val="24"/>
          <w:szCs w:val="24"/>
        </w:rPr>
        <w:t>s</w:t>
      </w:r>
      <w:r>
        <w:rPr>
          <w:rFonts w:ascii="Times New Roman" w:hAnsi="Times New Roman" w:cs="Times New Roman"/>
          <w:sz w:val="24"/>
          <w:szCs w:val="24"/>
        </w:rPr>
        <w:t xml:space="preserve">ieci </w:t>
      </w:r>
      <w:r w:rsidR="00A82705">
        <w:rPr>
          <w:rFonts w:ascii="Times New Roman" w:hAnsi="Times New Roman" w:cs="Times New Roman"/>
          <w:sz w:val="24"/>
          <w:szCs w:val="24"/>
        </w:rPr>
        <w:t>rządowej</w:t>
      </w:r>
      <w:r>
        <w:rPr>
          <w:rFonts w:ascii="Times New Roman" w:hAnsi="Times New Roman" w:cs="Times New Roman"/>
          <w:sz w:val="24"/>
          <w:szCs w:val="24"/>
        </w:rPr>
        <w:t>;</w:t>
      </w:r>
    </w:p>
    <w:p w14:paraId="21290594" w14:textId="77777777" w:rsidR="007966EE" w:rsidRPr="00AE71F5" w:rsidRDefault="00CB2490" w:rsidP="00011790">
      <w:pPr>
        <w:pStyle w:val="Akapitzlist"/>
        <w:numPr>
          <w:ilvl w:val="0"/>
          <w:numId w:val="3"/>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w:t>
      </w:r>
      <w:r w:rsidR="007966EE" w:rsidRPr="00AE71F5">
        <w:rPr>
          <w:rFonts w:ascii="Times New Roman" w:hAnsi="Times New Roman" w:cs="Times New Roman"/>
          <w:sz w:val="24"/>
          <w:szCs w:val="24"/>
        </w:rPr>
        <w:t xml:space="preserve">dostęp do </w:t>
      </w:r>
      <w:r>
        <w:rPr>
          <w:rFonts w:ascii="Times New Roman" w:hAnsi="Times New Roman" w:cs="Times New Roman"/>
          <w:sz w:val="24"/>
          <w:szCs w:val="24"/>
        </w:rPr>
        <w:t xml:space="preserve">sieci publicznej przez </w:t>
      </w:r>
      <w:r w:rsidR="007966EE" w:rsidRPr="00AE71F5">
        <w:rPr>
          <w:rFonts w:ascii="Times New Roman" w:hAnsi="Times New Roman" w:cs="Times New Roman"/>
          <w:sz w:val="24"/>
          <w:szCs w:val="24"/>
        </w:rPr>
        <w:t>co najmniej 2 niezależne łącza różnych operatorów;</w:t>
      </w:r>
    </w:p>
    <w:p w14:paraId="3DC7C533" w14:textId="77777777" w:rsidR="007966EE" w:rsidRPr="00FC763E" w:rsidRDefault="00BF21F2" w:rsidP="00011790">
      <w:pPr>
        <w:pStyle w:val="Akapitzlist"/>
        <w:numPr>
          <w:ilvl w:val="0"/>
          <w:numId w:val="3"/>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w:t>
      </w:r>
      <w:r w:rsidR="007966EE" w:rsidRPr="00AE71F5">
        <w:rPr>
          <w:rFonts w:ascii="Times New Roman" w:hAnsi="Times New Roman" w:cs="Times New Roman"/>
          <w:sz w:val="24"/>
          <w:szCs w:val="24"/>
        </w:rPr>
        <w:t xml:space="preserve">możliwość </w:t>
      </w:r>
      <w:r w:rsidR="005B25CB">
        <w:rPr>
          <w:rFonts w:ascii="Times New Roman" w:hAnsi="Times New Roman" w:cs="Times New Roman"/>
          <w:sz w:val="24"/>
          <w:szCs w:val="24"/>
        </w:rPr>
        <w:t>zarządzania poprzez u</w:t>
      </w:r>
      <w:r w:rsidR="007966EE" w:rsidRPr="00AE71F5">
        <w:rPr>
          <w:rFonts w:ascii="Times New Roman" w:hAnsi="Times New Roman" w:cs="Times New Roman"/>
          <w:sz w:val="24"/>
          <w:szCs w:val="24"/>
        </w:rPr>
        <w:t>sług</w:t>
      </w:r>
      <w:r w:rsidR="005B25CB">
        <w:rPr>
          <w:rFonts w:ascii="Times New Roman" w:hAnsi="Times New Roman" w:cs="Times New Roman"/>
          <w:sz w:val="24"/>
          <w:szCs w:val="24"/>
        </w:rPr>
        <w:t>i</w:t>
      </w:r>
      <w:r w:rsidR="007966EE" w:rsidRPr="00AE71F5">
        <w:rPr>
          <w:rFonts w:ascii="Times New Roman" w:hAnsi="Times New Roman" w:cs="Times New Roman"/>
          <w:sz w:val="24"/>
          <w:szCs w:val="24"/>
        </w:rPr>
        <w:t xml:space="preserve"> RKB potwierdzon</w:t>
      </w:r>
      <w:r w:rsidR="00CD19CC">
        <w:rPr>
          <w:rFonts w:ascii="Times New Roman" w:hAnsi="Times New Roman" w:cs="Times New Roman"/>
          <w:sz w:val="24"/>
          <w:szCs w:val="24"/>
        </w:rPr>
        <w:t>ą</w:t>
      </w:r>
      <w:r w:rsidR="007966EE" w:rsidRPr="00AE71F5">
        <w:rPr>
          <w:rFonts w:ascii="Times New Roman" w:hAnsi="Times New Roman" w:cs="Times New Roman"/>
          <w:sz w:val="24"/>
          <w:szCs w:val="24"/>
        </w:rPr>
        <w:t xml:space="preserve"> przez operatora RKB.</w:t>
      </w:r>
    </w:p>
    <w:p w14:paraId="33E5057A" w14:textId="77777777"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 xml:space="preserve">4. Infrastruktura przetwarzania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 xml:space="preserve"> umieszczona w CPD spełnia wymagania:</w:t>
      </w:r>
    </w:p>
    <w:p w14:paraId="740FEBE3" w14:textId="77777777" w:rsidR="007966EE" w:rsidRPr="00AE71F5" w:rsidRDefault="007966EE" w:rsidP="00011790">
      <w:pPr>
        <w:pStyle w:val="Akapitzlist"/>
        <w:numPr>
          <w:ilvl w:val="0"/>
          <w:numId w:val="20"/>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zakresie wsparcia dla infrastruktury:</w:t>
      </w:r>
    </w:p>
    <w:p w14:paraId="21D96A1D" w14:textId="77777777" w:rsidR="007966EE" w:rsidRPr="00AE71F5" w:rsidRDefault="007966EE" w:rsidP="00011790">
      <w:pPr>
        <w:pStyle w:val="Akapitzlist"/>
        <w:numPr>
          <w:ilvl w:val="0"/>
          <w:numId w:val="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używana infrastruktura (w</w:t>
      </w:r>
      <w:r w:rsidR="00AE71F5">
        <w:rPr>
          <w:rFonts w:ascii="Times New Roman" w:hAnsi="Times New Roman" w:cs="Times New Roman"/>
          <w:sz w:val="24"/>
          <w:szCs w:val="24"/>
        </w:rPr>
        <w:t xml:space="preserve"> szczególności:</w:t>
      </w:r>
      <w:r w:rsidRPr="00AE71F5">
        <w:rPr>
          <w:rFonts w:ascii="Times New Roman" w:hAnsi="Times New Roman" w:cs="Times New Roman"/>
          <w:sz w:val="24"/>
          <w:szCs w:val="24"/>
        </w:rPr>
        <w:t xml:space="preserve"> serwery, macierze, urządzenia sieciowe) posiadają aktywną gwarancję wsparcia producenta. W przypadku, gdy gwarancja wsparcia nie jest odnawiana,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 musi o t</w:t>
      </w:r>
      <w:r w:rsidR="00AE71F5">
        <w:rPr>
          <w:rFonts w:ascii="Times New Roman" w:hAnsi="Times New Roman" w:cs="Times New Roman"/>
          <w:sz w:val="24"/>
          <w:szCs w:val="24"/>
        </w:rPr>
        <w:t>ym poinformować odbiorców usług,</w:t>
      </w:r>
    </w:p>
    <w:p w14:paraId="2CC89DBF" w14:textId="77777777" w:rsidR="007966EE" w:rsidRPr="00AE71F5" w:rsidRDefault="007966EE" w:rsidP="00011790">
      <w:pPr>
        <w:pStyle w:val="Akapitzlist"/>
        <w:numPr>
          <w:ilvl w:val="0"/>
          <w:numId w:val="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używana infrastruktura korzysta z </w:t>
      </w:r>
      <w:r w:rsidR="005B25CB">
        <w:rPr>
          <w:rFonts w:ascii="Times New Roman" w:hAnsi="Times New Roman" w:cs="Times New Roman"/>
          <w:sz w:val="24"/>
          <w:szCs w:val="24"/>
        </w:rPr>
        <w:t>oprogramowania</w:t>
      </w:r>
      <w:r w:rsidRPr="00AE71F5">
        <w:rPr>
          <w:rFonts w:ascii="Times New Roman" w:hAnsi="Times New Roman" w:cs="Times New Roman"/>
          <w:sz w:val="24"/>
          <w:szCs w:val="24"/>
        </w:rPr>
        <w:t xml:space="preserve"> instalowanego z autoryzowanych źródeł przez </w:t>
      </w:r>
      <w:r w:rsidR="00AE71F5">
        <w:rPr>
          <w:rFonts w:ascii="Times New Roman" w:hAnsi="Times New Roman" w:cs="Times New Roman"/>
          <w:sz w:val="24"/>
          <w:szCs w:val="24"/>
        </w:rPr>
        <w:t>przeszkolony i autoryzowany personel,</w:t>
      </w:r>
    </w:p>
    <w:p w14:paraId="27587F9B" w14:textId="77777777" w:rsidR="007966EE" w:rsidRPr="00AE71F5" w:rsidRDefault="007966EE" w:rsidP="00011790">
      <w:pPr>
        <w:pStyle w:val="Akapitzlist"/>
        <w:numPr>
          <w:ilvl w:val="0"/>
          <w:numId w:val="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uszkodzone elementy wyposażenia, które zawierają lub mogą zawierać dane odbiorców usług lub dane konfiguracji środowiska infrastruktury przetwarzania lub infrastruktury sieciowej nie opuszczają pomieszczenia lub wydzielonej strefy CPD</w:t>
      </w:r>
      <w:r w:rsidR="008120A8">
        <w:rPr>
          <w:rFonts w:ascii="Times New Roman" w:hAnsi="Times New Roman" w:cs="Times New Roman"/>
          <w:sz w:val="24"/>
          <w:szCs w:val="24"/>
        </w:rPr>
        <w:t>:</w:t>
      </w:r>
      <w:r w:rsidRPr="00AE71F5">
        <w:rPr>
          <w:rFonts w:ascii="Times New Roman" w:hAnsi="Times New Roman" w:cs="Times New Roman"/>
          <w:sz w:val="24"/>
          <w:szCs w:val="24"/>
        </w:rPr>
        <w:t xml:space="preserve"> </w:t>
      </w:r>
      <w:r w:rsidR="008120A8">
        <w:rPr>
          <w:rFonts w:ascii="Times New Roman" w:hAnsi="Times New Roman" w:cs="Times New Roman"/>
          <w:sz w:val="24"/>
          <w:szCs w:val="24"/>
        </w:rPr>
        <w:t>w</w:t>
      </w:r>
      <w:r w:rsidRPr="00AE71F5">
        <w:rPr>
          <w:rFonts w:ascii="Times New Roman" w:hAnsi="Times New Roman" w:cs="Times New Roman"/>
          <w:sz w:val="24"/>
          <w:szCs w:val="24"/>
        </w:rPr>
        <w:t xml:space="preserve"> przypadku uszkodzonych nośników danych muszą one zostać trwale zniszczone pod nadzor</w:t>
      </w:r>
      <w:r w:rsidR="00AE71F5">
        <w:rPr>
          <w:rFonts w:ascii="Times New Roman" w:hAnsi="Times New Roman" w:cs="Times New Roman"/>
          <w:sz w:val="24"/>
          <w:szCs w:val="24"/>
        </w:rPr>
        <w:t>em autoryzowanego personelu;</w:t>
      </w:r>
    </w:p>
    <w:p w14:paraId="09242146" w14:textId="77777777" w:rsidR="007966EE" w:rsidRPr="00AE71F5" w:rsidRDefault="007966EE" w:rsidP="00011790">
      <w:pPr>
        <w:pStyle w:val="Akapitzlist"/>
        <w:numPr>
          <w:ilvl w:val="0"/>
          <w:numId w:val="20"/>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zakresie wsparcia dla oprogramowania:</w:t>
      </w:r>
    </w:p>
    <w:p w14:paraId="4A1D243D" w14:textId="77777777" w:rsidR="007966EE" w:rsidRPr="00AE71F5" w:rsidRDefault="007966EE" w:rsidP="00011790">
      <w:pPr>
        <w:pStyle w:val="Akapitzlist"/>
        <w:numPr>
          <w:ilvl w:val="0"/>
          <w:numId w:val="5"/>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używane oprogramowanie pochodzi z autoryzowanych źródeł i jest przygotowywane do instalacji oraz instalowane przez przes</w:t>
      </w:r>
      <w:r w:rsidR="00AE71F5">
        <w:rPr>
          <w:rFonts w:ascii="Times New Roman" w:hAnsi="Times New Roman" w:cs="Times New Roman"/>
          <w:sz w:val="24"/>
          <w:szCs w:val="24"/>
        </w:rPr>
        <w:t>zkolony i autoryzowany personel,</w:t>
      </w:r>
    </w:p>
    <w:p w14:paraId="5B041FA3" w14:textId="77777777" w:rsidR="007966EE" w:rsidRPr="00AE71F5" w:rsidRDefault="007966EE" w:rsidP="00011790">
      <w:pPr>
        <w:pStyle w:val="Akapitzlist"/>
        <w:numPr>
          <w:ilvl w:val="0"/>
          <w:numId w:val="5"/>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używane oprogramowanie zawiera wymagane poprawki bezpieczeństwa, a</w:t>
      </w:r>
      <w:r w:rsidR="00E505D3" w:rsidRPr="00AE71F5">
        <w:rPr>
          <w:rFonts w:ascii="Times New Roman" w:hAnsi="Times New Roman" w:cs="Times New Roman"/>
          <w:sz w:val="24"/>
          <w:szCs w:val="24"/>
        </w:rPr>
        <w:t> </w:t>
      </w:r>
      <w:r w:rsidRPr="00AE71F5">
        <w:rPr>
          <w:rFonts w:ascii="Times New Roman" w:hAnsi="Times New Roman" w:cs="Times New Roman"/>
          <w:sz w:val="24"/>
          <w:szCs w:val="24"/>
        </w:rPr>
        <w:t>w</w:t>
      </w:r>
      <w:r w:rsidR="00EF406F" w:rsidRPr="00AE71F5">
        <w:rPr>
          <w:rFonts w:ascii="Times New Roman" w:hAnsi="Times New Roman" w:cs="Times New Roman"/>
          <w:sz w:val="24"/>
          <w:szCs w:val="24"/>
        </w:rPr>
        <w:t> </w:t>
      </w:r>
      <w:r w:rsidRPr="00AE71F5">
        <w:rPr>
          <w:rFonts w:ascii="Times New Roman" w:hAnsi="Times New Roman" w:cs="Times New Roman"/>
          <w:sz w:val="24"/>
          <w:szCs w:val="24"/>
        </w:rPr>
        <w:t>szczególności te, które producent opisał</w:t>
      </w:r>
      <w:r w:rsidR="00220B9B">
        <w:rPr>
          <w:rFonts w:ascii="Times New Roman" w:hAnsi="Times New Roman" w:cs="Times New Roman"/>
          <w:sz w:val="24"/>
          <w:szCs w:val="24"/>
        </w:rPr>
        <w:t>,</w:t>
      </w:r>
      <w:r w:rsidRPr="00AE71F5">
        <w:rPr>
          <w:rFonts w:ascii="Times New Roman" w:hAnsi="Times New Roman" w:cs="Times New Roman"/>
          <w:sz w:val="24"/>
          <w:szCs w:val="24"/>
        </w:rPr>
        <w:t xml:space="preserve"> jako krytyczne</w:t>
      </w:r>
      <w:r w:rsidR="008120A8">
        <w:rPr>
          <w:rFonts w:ascii="Times New Roman" w:hAnsi="Times New Roman" w:cs="Times New Roman"/>
          <w:sz w:val="24"/>
          <w:szCs w:val="24"/>
        </w:rPr>
        <w:t>;</w:t>
      </w:r>
      <w:r w:rsidRPr="00AE71F5">
        <w:rPr>
          <w:rFonts w:ascii="Times New Roman" w:hAnsi="Times New Roman" w:cs="Times New Roman"/>
          <w:sz w:val="24"/>
          <w:szCs w:val="24"/>
        </w:rPr>
        <w:t xml:space="preserve"> </w:t>
      </w:r>
      <w:r w:rsidR="008120A8">
        <w:rPr>
          <w:rFonts w:ascii="Times New Roman" w:hAnsi="Times New Roman" w:cs="Times New Roman"/>
          <w:sz w:val="24"/>
          <w:szCs w:val="24"/>
        </w:rPr>
        <w:t>p</w:t>
      </w:r>
      <w:r w:rsidR="00AE71F5">
        <w:rPr>
          <w:rFonts w:ascii="Times New Roman" w:hAnsi="Times New Roman" w:cs="Times New Roman"/>
          <w:sz w:val="24"/>
          <w:szCs w:val="24"/>
        </w:rPr>
        <w:t>osiadacz</w:t>
      </w:r>
      <w:r w:rsidRPr="00AE71F5">
        <w:rPr>
          <w:rFonts w:ascii="Times New Roman" w:hAnsi="Times New Roman" w:cs="Times New Roman"/>
          <w:sz w:val="24"/>
          <w:szCs w:val="24"/>
        </w:rPr>
        <w:t xml:space="preserve"> CPD zapewnia weryfikowalny i powtarzalny proces aktualizacji źródeł oprogramowania</w:t>
      </w:r>
      <w:r w:rsidR="00AE71F5">
        <w:rPr>
          <w:rFonts w:ascii="Times New Roman" w:hAnsi="Times New Roman" w:cs="Times New Roman"/>
          <w:sz w:val="24"/>
          <w:szCs w:val="24"/>
        </w:rPr>
        <w:t xml:space="preserve"> używanego do świadczenia usług,</w:t>
      </w:r>
    </w:p>
    <w:p w14:paraId="483E8422" w14:textId="77777777" w:rsidR="007966EE" w:rsidRPr="00AE71F5" w:rsidRDefault="007966EE" w:rsidP="00011790">
      <w:pPr>
        <w:pStyle w:val="Akapitzlist"/>
        <w:numPr>
          <w:ilvl w:val="0"/>
          <w:numId w:val="5"/>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używane oprogramowanie posiada wsparcie producenta w zakresie aktualizacji i</w:t>
      </w:r>
      <w:r w:rsidR="00EF406F" w:rsidRPr="00AE71F5">
        <w:rPr>
          <w:rFonts w:ascii="Times New Roman" w:hAnsi="Times New Roman" w:cs="Times New Roman"/>
          <w:sz w:val="24"/>
          <w:szCs w:val="24"/>
        </w:rPr>
        <w:t> </w:t>
      </w:r>
      <w:r w:rsidRPr="00AE71F5">
        <w:rPr>
          <w:rFonts w:ascii="Times New Roman" w:hAnsi="Times New Roman" w:cs="Times New Roman"/>
          <w:sz w:val="24"/>
          <w:szCs w:val="24"/>
        </w:rPr>
        <w:t>poprawek bezpieczeństwa, a w przypadk</w:t>
      </w:r>
      <w:r w:rsidR="00EF406F" w:rsidRPr="00AE71F5">
        <w:rPr>
          <w:rFonts w:ascii="Times New Roman" w:hAnsi="Times New Roman" w:cs="Times New Roman"/>
          <w:sz w:val="24"/>
          <w:szCs w:val="24"/>
        </w:rPr>
        <w:t xml:space="preserve">u oprogramowania używanego </w:t>
      </w:r>
      <w:r w:rsidR="00EF406F" w:rsidRPr="00AE71F5">
        <w:rPr>
          <w:rFonts w:ascii="Times New Roman" w:hAnsi="Times New Roman" w:cs="Times New Roman"/>
          <w:sz w:val="24"/>
          <w:szCs w:val="24"/>
        </w:rPr>
        <w:lastRenderedPageBreak/>
        <w:t>do </w:t>
      </w:r>
      <w:r w:rsidRPr="00AE71F5">
        <w:rPr>
          <w:rFonts w:ascii="Times New Roman" w:hAnsi="Times New Roman" w:cs="Times New Roman"/>
          <w:sz w:val="24"/>
          <w:szCs w:val="24"/>
        </w:rPr>
        <w:t>świadczenia usług (np. oprogramowanie systemów operacyjnych, oprogramowanie do wirtualizacji) t</w:t>
      </w:r>
      <w:r w:rsidR="00AE71F5">
        <w:rPr>
          <w:rFonts w:ascii="Times New Roman" w:hAnsi="Times New Roman" w:cs="Times New Roman"/>
          <w:sz w:val="24"/>
          <w:szCs w:val="24"/>
        </w:rPr>
        <w:t>akże hot-line w trybie 24/7/365,</w:t>
      </w:r>
    </w:p>
    <w:p w14:paraId="215FF6FA" w14:textId="77777777" w:rsidR="007966EE" w:rsidRPr="00AE71F5" w:rsidRDefault="00AE71F5" w:rsidP="00011790">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posiadacz</w:t>
      </w:r>
      <w:r w:rsidR="007966EE" w:rsidRPr="00AE71F5">
        <w:rPr>
          <w:rFonts w:ascii="Times New Roman" w:hAnsi="Times New Roman" w:cs="Times New Roman"/>
          <w:sz w:val="24"/>
          <w:szCs w:val="24"/>
        </w:rPr>
        <w:t xml:space="preserve"> CPD zapewnia, że wyłącznie wyszkolony i autoryz</w:t>
      </w:r>
      <w:r>
        <w:rPr>
          <w:rFonts w:ascii="Times New Roman" w:hAnsi="Times New Roman" w:cs="Times New Roman"/>
          <w:sz w:val="24"/>
          <w:szCs w:val="24"/>
        </w:rPr>
        <w:t>owany personel realizuje usługę,</w:t>
      </w:r>
    </w:p>
    <w:p w14:paraId="79929A80" w14:textId="77777777" w:rsidR="007966EE" w:rsidRPr="00FC763E" w:rsidRDefault="007966EE" w:rsidP="00011790">
      <w:pPr>
        <w:pStyle w:val="Akapitzlist"/>
        <w:numPr>
          <w:ilvl w:val="0"/>
          <w:numId w:val="5"/>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przypadku używania oprogramowania open source</w:t>
      </w:r>
      <w:r w:rsidR="00220B9B">
        <w:rPr>
          <w:rFonts w:ascii="Times New Roman" w:hAnsi="Times New Roman" w:cs="Times New Roman"/>
          <w:sz w:val="24"/>
          <w:szCs w:val="24"/>
        </w:rPr>
        <w:t xml:space="preserve"> wymagania a – d</w:t>
      </w:r>
      <w:r w:rsidRPr="00AE71F5">
        <w:rPr>
          <w:rFonts w:ascii="Times New Roman" w:hAnsi="Times New Roman" w:cs="Times New Roman"/>
          <w:sz w:val="24"/>
          <w:szCs w:val="24"/>
        </w:rPr>
        <w:t xml:space="preserve"> stosuje się odpowiednio, przy czym rolę producenta oprogramowania przejmuje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w:t>
      </w:r>
    </w:p>
    <w:p w14:paraId="083E1DDC" w14:textId="77777777" w:rsidR="00BF21F2" w:rsidRPr="0039267D" w:rsidRDefault="00CA2277" w:rsidP="00AE71F5">
      <w:p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5. </w:t>
      </w:r>
      <w:r w:rsidR="00AE71F5">
        <w:rPr>
          <w:rFonts w:ascii="Times New Roman" w:hAnsi="Times New Roman" w:cs="Times New Roman"/>
          <w:sz w:val="24"/>
          <w:szCs w:val="24"/>
        </w:rPr>
        <w:t>P</w:t>
      </w:r>
      <w:r w:rsidRPr="00AE71F5">
        <w:rPr>
          <w:rFonts w:ascii="Times New Roman" w:hAnsi="Times New Roman" w:cs="Times New Roman"/>
          <w:sz w:val="24"/>
          <w:szCs w:val="24"/>
        </w:rPr>
        <w:t>osiadacz CPD</w:t>
      </w:r>
      <w:r w:rsidR="00AE71F5">
        <w:rPr>
          <w:rFonts w:ascii="Times New Roman" w:hAnsi="Times New Roman" w:cs="Times New Roman"/>
          <w:sz w:val="24"/>
          <w:szCs w:val="24"/>
        </w:rPr>
        <w:t>, który</w:t>
      </w:r>
      <w:r w:rsidRPr="00AE71F5">
        <w:rPr>
          <w:rFonts w:ascii="Times New Roman" w:hAnsi="Times New Roman" w:cs="Times New Roman"/>
          <w:sz w:val="24"/>
          <w:szCs w:val="24"/>
        </w:rPr>
        <w:t xml:space="preserve"> nie udostępnia infrastruktury przetwarzania, spełnia wyłącznie </w:t>
      </w:r>
      <w:r w:rsidRPr="0039267D">
        <w:rPr>
          <w:rFonts w:ascii="Times New Roman" w:hAnsi="Times New Roman" w:cs="Times New Roman"/>
          <w:sz w:val="24"/>
          <w:szCs w:val="24"/>
        </w:rPr>
        <w:t>wymagania, o których mowa w ust. 1-3.</w:t>
      </w:r>
    </w:p>
    <w:p w14:paraId="520C300D" w14:textId="77777777" w:rsidR="009A6928" w:rsidRPr="009A6928" w:rsidRDefault="00D46F9A" w:rsidP="009A6928">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6. </w:t>
      </w:r>
      <w:r w:rsidR="009A6928" w:rsidRPr="009A6928">
        <w:rPr>
          <w:rFonts w:ascii="Times New Roman" w:hAnsi="Times New Roman" w:cs="Times New Roman"/>
          <w:sz w:val="24"/>
          <w:szCs w:val="24"/>
        </w:rPr>
        <w:t>Potwierdzenie wymagań okr</w:t>
      </w:r>
      <w:r w:rsidR="009A6928">
        <w:rPr>
          <w:rFonts w:ascii="Times New Roman" w:hAnsi="Times New Roman" w:cs="Times New Roman"/>
          <w:sz w:val="24"/>
          <w:szCs w:val="24"/>
        </w:rPr>
        <w:t xml:space="preserve">eślonych w ust. 1-3 odbywa się </w:t>
      </w:r>
      <w:r w:rsidR="009A6928" w:rsidRPr="009A6928">
        <w:rPr>
          <w:rFonts w:ascii="Times New Roman" w:hAnsi="Times New Roman" w:cs="Times New Roman"/>
          <w:sz w:val="24"/>
          <w:szCs w:val="24"/>
        </w:rPr>
        <w:t xml:space="preserve">po spełnieniu jednego z następujących warunków: </w:t>
      </w:r>
    </w:p>
    <w:p w14:paraId="389C463A" w14:textId="77777777" w:rsidR="009A6928" w:rsidRPr="009A6928" w:rsidRDefault="009A6928" w:rsidP="009A6928">
      <w:pPr>
        <w:spacing w:after="0" w:line="360" w:lineRule="auto"/>
        <w:jc w:val="both"/>
        <w:rPr>
          <w:rFonts w:ascii="Times New Roman" w:hAnsi="Times New Roman" w:cs="Times New Roman"/>
          <w:sz w:val="24"/>
          <w:szCs w:val="24"/>
        </w:rPr>
      </w:pPr>
      <w:r w:rsidRPr="009A6928">
        <w:rPr>
          <w:rFonts w:ascii="Times New Roman" w:hAnsi="Times New Roman" w:cs="Times New Roman"/>
          <w:sz w:val="24"/>
          <w:szCs w:val="24"/>
        </w:rPr>
        <w:t>1)</w:t>
      </w:r>
      <w:r w:rsidRPr="009A6928">
        <w:rPr>
          <w:rFonts w:ascii="Times New Roman" w:hAnsi="Times New Roman" w:cs="Times New Roman"/>
          <w:sz w:val="24"/>
          <w:szCs w:val="24"/>
        </w:rPr>
        <w:tab/>
        <w:t xml:space="preserve">przejścia pozytywnej weryfikacji zgodności z </w:t>
      </w:r>
      <w:r>
        <w:rPr>
          <w:rFonts w:ascii="Times New Roman" w:hAnsi="Times New Roman" w:cs="Times New Roman"/>
          <w:sz w:val="24"/>
          <w:szCs w:val="24"/>
        </w:rPr>
        <w:t>SCCO</w:t>
      </w:r>
      <w:r w:rsidRPr="009A6928">
        <w:rPr>
          <w:rFonts w:ascii="Times New Roman" w:hAnsi="Times New Roman" w:cs="Times New Roman"/>
          <w:sz w:val="24"/>
          <w:szCs w:val="24"/>
        </w:rPr>
        <w:t xml:space="preserve"> prowadzonej przez instytucję wskazaną przez operatora RKB;</w:t>
      </w:r>
    </w:p>
    <w:p w14:paraId="5E3F014D" w14:textId="77777777" w:rsidR="009A6928" w:rsidRPr="009A6928" w:rsidRDefault="009A6928" w:rsidP="009A6928">
      <w:pPr>
        <w:spacing w:after="0" w:line="360" w:lineRule="auto"/>
        <w:jc w:val="both"/>
        <w:rPr>
          <w:rFonts w:ascii="Times New Roman" w:hAnsi="Times New Roman" w:cs="Times New Roman"/>
          <w:sz w:val="24"/>
          <w:szCs w:val="24"/>
        </w:rPr>
      </w:pPr>
      <w:r w:rsidRPr="009A6928">
        <w:rPr>
          <w:rFonts w:ascii="Times New Roman" w:hAnsi="Times New Roman" w:cs="Times New Roman"/>
          <w:sz w:val="24"/>
          <w:szCs w:val="24"/>
        </w:rPr>
        <w:t>2)</w:t>
      </w:r>
      <w:r w:rsidRPr="009A6928">
        <w:rPr>
          <w:rFonts w:ascii="Times New Roman" w:hAnsi="Times New Roman" w:cs="Times New Roman"/>
          <w:sz w:val="24"/>
          <w:szCs w:val="24"/>
        </w:rPr>
        <w:tab/>
        <w:t xml:space="preserve"> sprawdzaniu przez operatora RKB systemu bezpieczeństwa w zakresie dotyczącym aktywów Rządowej Chmury Obliczeniowej</w:t>
      </w:r>
      <w:r>
        <w:rPr>
          <w:rFonts w:ascii="Times New Roman" w:hAnsi="Times New Roman" w:cs="Times New Roman"/>
          <w:sz w:val="24"/>
          <w:szCs w:val="24"/>
        </w:rPr>
        <w:t>;</w:t>
      </w:r>
    </w:p>
    <w:p w14:paraId="3221C5D5" w14:textId="77777777" w:rsidR="00A82705" w:rsidRPr="0039267D" w:rsidRDefault="009A6928" w:rsidP="009A6928">
      <w:pPr>
        <w:spacing w:after="0" w:line="360" w:lineRule="auto"/>
        <w:jc w:val="both"/>
        <w:rPr>
          <w:rFonts w:ascii="Times New Roman" w:hAnsi="Times New Roman" w:cs="Times New Roman"/>
          <w:sz w:val="24"/>
          <w:szCs w:val="24"/>
        </w:rPr>
      </w:pPr>
      <w:r w:rsidRPr="009A6928">
        <w:rPr>
          <w:rFonts w:ascii="Times New Roman" w:hAnsi="Times New Roman" w:cs="Times New Roman"/>
          <w:sz w:val="24"/>
          <w:szCs w:val="24"/>
        </w:rPr>
        <w:t>3) uzyskania certyfikacji.</w:t>
      </w:r>
    </w:p>
    <w:p w14:paraId="54AF5492" w14:textId="77777777" w:rsidR="00A82705" w:rsidRPr="0039267D" w:rsidRDefault="00A82705" w:rsidP="00A8270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7. Posiadacz CPD, który nie spełnia wymagań, o których mowa w ust. 1-3, może zostać podłączony do Rządowej Chmury Obliczeniowej po spełnieniu następujących warunków: </w:t>
      </w:r>
    </w:p>
    <w:p w14:paraId="654C36DC" w14:textId="77777777" w:rsidR="00A82705" w:rsidRPr="0039267D" w:rsidRDefault="00A82705" w:rsidP="00011790">
      <w:pPr>
        <w:pStyle w:val="Akapitzlist"/>
        <w:numPr>
          <w:ilvl w:val="0"/>
          <w:numId w:val="27"/>
        </w:num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złożeniu </w:t>
      </w:r>
      <w:r w:rsidR="00B14F06">
        <w:rPr>
          <w:rFonts w:ascii="Times New Roman" w:hAnsi="Times New Roman" w:cs="Times New Roman"/>
          <w:sz w:val="24"/>
          <w:szCs w:val="24"/>
        </w:rPr>
        <w:t>deklaracji</w:t>
      </w:r>
      <w:r w:rsidRPr="0039267D">
        <w:rPr>
          <w:rFonts w:ascii="Times New Roman" w:hAnsi="Times New Roman" w:cs="Times New Roman"/>
          <w:sz w:val="24"/>
          <w:szCs w:val="24"/>
        </w:rPr>
        <w:t xml:space="preserve"> zgodności z wymagan</w:t>
      </w:r>
      <w:r w:rsidR="00B14F06">
        <w:rPr>
          <w:rFonts w:ascii="Times New Roman" w:hAnsi="Times New Roman" w:cs="Times New Roman"/>
          <w:sz w:val="24"/>
          <w:szCs w:val="24"/>
        </w:rPr>
        <w:t xml:space="preserve">iami norm, o których mowa w ust. 1 </w:t>
      </w:r>
      <w:r w:rsidRPr="0039267D">
        <w:rPr>
          <w:rFonts w:ascii="Times New Roman" w:hAnsi="Times New Roman" w:cs="Times New Roman"/>
          <w:sz w:val="24"/>
          <w:szCs w:val="24"/>
        </w:rPr>
        <w:t>;</w:t>
      </w:r>
    </w:p>
    <w:p w14:paraId="37E17D40" w14:textId="77777777" w:rsidR="00A82705" w:rsidRPr="00011790" w:rsidRDefault="00A82705" w:rsidP="00011790">
      <w:pPr>
        <w:pStyle w:val="Akapitzlist"/>
        <w:numPr>
          <w:ilvl w:val="0"/>
          <w:numId w:val="27"/>
        </w:numPr>
        <w:spacing w:after="0" w:line="360" w:lineRule="auto"/>
        <w:jc w:val="both"/>
        <w:rPr>
          <w:rFonts w:ascii="Times New Roman" w:hAnsi="Times New Roman" w:cs="Times New Roman"/>
          <w:sz w:val="24"/>
          <w:szCs w:val="24"/>
        </w:rPr>
      </w:pPr>
      <w:r w:rsidRPr="00011790">
        <w:rPr>
          <w:rFonts w:ascii="Times New Roman" w:hAnsi="Times New Roman" w:cs="Times New Roman"/>
          <w:sz w:val="24"/>
          <w:szCs w:val="24"/>
        </w:rPr>
        <w:t xml:space="preserve">przejścia pozytywnej weryfikacji zgodności z </w:t>
      </w:r>
      <w:r w:rsidR="004D78FC" w:rsidRPr="00011790">
        <w:rPr>
          <w:rFonts w:ascii="Times New Roman" w:hAnsi="Times New Roman" w:cs="Times New Roman"/>
          <w:sz w:val="24"/>
          <w:szCs w:val="24"/>
        </w:rPr>
        <w:t>S</w:t>
      </w:r>
      <w:r w:rsidR="00B14F06" w:rsidRPr="00011790">
        <w:rPr>
          <w:rFonts w:ascii="Times New Roman" w:hAnsi="Times New Roman" w:cs="Times New Roman"/>
          <w:sz w:val="24"/>
          <w:szCs w:val="24"/>
        </w:rPr>
        <w:t>C</w:t>
      </w:r>
      <w:r w:rsidR="004D78FC" w:rsidRPr="00011790">
        <w:rPr>
          <w:rFonts w:ascii="Times New Roman" w:hAnsi="Times New Roman" w:cs="Times New Roman"/>
          <w:sz w:val="24"/>
          <w:szCs w:val="24"/>
        </w:rPr>
        <w:t xml:space="preserve">CO </w:t>
      </w:r>
      <w:r w:rsidRPr="00011790">
        <w:rPr>
          <w:rFonts w:ascii="Times New Roman" w:hAnsi="Times New Roman" w:cs="Times New Roman"/>
          <w:sz w:val="24"/>
          <w:szCs w:val="24"/>
        </w:rPr>
        <w:t xml:space="preserve">prowadzonej przez instytucję wskazaną przez </w:t>
      </w:r>
      <w:r w:rsidR="00CB3C16" w:rsidRPr="00011790">
        <w:rPr>
          <w:rFonts w:ascii="Times New Roman" w:hAnsi="Times New Roman" w:cs="Times New Roman"/>
          <w:sz w:val="24"/>
          <w:szCs w:val="24"/>
        </w:rPr>
        <w:t>o</w:t>
      </w:r>
      <w:r w:rsidRPr="00011790">
        <w:rPr>
          <w:rFonts w:ascii="Times New Roman" w:hAnsi="Times New Roman" w:cs="Times New Roman"/>
          <w:sz w:val="24"/>
          <w:szCs w:val="24"/>
        </w:rPr>
        <w:t>peratora RKB;</w:t>
      </w:r>
    </w:p>
    <w:p w14:paraId="608EC63B" w14:textId="77777777" w:rsidR="00A82705" w:rsidRPr="0039267D" w:rsidRDefault="00A82705" w:rsidP="00011790">
      <w:pPr>
        <w:pStyle w:val="Akapitzlist"/>
        <w:numPr>
          <w:ilvl w:val="0"/>
          <w:numId w:val="27"/>
        </w:num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podpisaniu stosownego porozumienia dającego </w:t>
      </w:r>
      <w:r w:rsidR="00CB3C16" w:rsidRPr="0039267D">
        <w:rPr>
          <w:rFonts w:ascii="Times New Roman" w:hAnsi="Times New Roman" w:cs="Times New Roman"/>
          <w:sz w:val="24"/>
          <w:szCs w:val="24"/>
        </w:rPr>
        <w:t>o</w:t>
      </w:r>
      <w:r w:rsidRPr="0039267D">
        <w:rPr>
          <w:rFonts w:ascii="Times New Roman" w:hAnsi="Times New Roman" w:cs="Times New Roman"/>
          <w:sz w:val="24"/>
          <w:szCs w:val="24"/>
        </w:rPr>
        <w:t>peratorowi RKB możliwość sprawdzania systemu bezpieczeństwa w zakresie dotyczącym aktywów Rządowej Chmury Obliczeniowej.</w:t>
      </w:r>
    </w:p>
    <w:p w14:paraId="6057B84C" w14:textId="77777777" w:rsidR="00D46F9A" w:rsidRPr="00FC763E" w:rsidRDefault="00A8270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8. </w:t>
      </w:r>
      <w:r w:rsidR="00D76C8C">
        <w:rPr>
          <w:rFonts w:ascii="Times New Roman" w:hAnsi="Times New Roman" w:cs="Times New Roman"/>
          <w:sz w:val="24"/>
          <w:szCs w:val="24"/>
        </w:rPr>
        <w:t>Koszty czynności związanych z deklaracją zgodności ponosi posiadacz CPD.</w:t>
      </w:r>
    </w:p>
    <w:p w14:paraId="204626E9" w14:textId="77777777" w:rsidR="00E505D3" w:rsidRPr="00AE71F5" w:rsidRDefault="00E505D3"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br w:type="page"/>
      </w:r>
    </w:p>
    <w:p w14:paraId="3E4F7051" w14:textId="77777777" w:rsidR="000C3E33" w:rsidRPr="00AE71F5" w:rsidRDefault="004D13C4" w:rsidP="000C3E33">
      <w:pPr>
        <w:autoSpaceDE w:val="0"/>
        <w:autoSpaceDN w:val="0"/>
        <w:spacing w:after="0" w:line="360" w:lineRule="auto"/>
        <w:ind w:left="6237"/>
        <w:jc w:val="both"/>
        <w:rPr>
          <w:rFonts w:ascii="Times New Roman" w:hAnsi="Times New Roman" w:cs="Times New Roman"/>
          <w:sz w:val="24"/>
          <w:szCs w:val="24"/>
        </w:rPr>
      </w:pPr>
      <w:r>
        <w:rPr>
          <w:rFonts w:ascii="Times New Roman" w:hAnsi="Times New Roman" w:cs="Times New Roman"/>
          <w:sz w:val="24"/>
          <w:szCs w:val="24"/>
        </w:rPr>
        <w:lastRenderedPageBreak/>
        <w:t>Załącznik nr 2</w:t>
      </w:r>
    </w:p>
    <w:p w14:paraId="0894ABB2" w14:textId="77777777" w:rsidR="006D0CF8" w:rsidRDefault="006D0CF8" w:rsidP="006D0CF8">
      <w:pPr>
        <w:jc w:val="right"/>
      </w:pPr>
    </w:p>
    <w:p w14:paraId="4A8B7E17" w14:textId="77777777" w:rsidR="006D0CF8" w:rsidRPr="006D0CF8" w:rsidRDefault="006D0CF8" w:rsidP="00A47F31">
      <w:pPr>
        <w:spacing w:after="0" w:line="360" w:lineRule="auto"/>
        <w:jc w:val="center"/>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Kryteria klasyfikacji systemów teleinformatycznych,</w:t>
      </w:r>
    </w:p>
    <w:p w14:paraId="64711B8F" w14:textId="77777777" w:rsidR="006D0CF8" w:rsidRPr="006D0CF8" w:rsidRDefault="006D0CF8" w:rsidP="00A47F31">
      <w:pPr>
        <w:spacing w:after="0" w:line="360" w:lineRule="auto"/>
        <w:jc w:val="center"/>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które mogą korzystać z usług przetwarzania w Rządowej Chmurze Obliczeniowej lub w</w:t>
      </w:r>
      <w:r>
        <w:rPr>
          <w:rFonts w:ascii="Times New Roman" w:eastAsia="Times New Roman" w:hAnsi="Times New Roman" w:cs="Times New Roman"/>
          <w:b/>
          <w:color w:val="000000"/>
          <w:sz w:val="24"/>
          <w:szCs w:val="24"/>
        </w:rPr>
        <w:t> </w:t>
      </w:r>
      <w:r w:rsidRPr="006D0CF8">
        <w:rPr>
          <w:rFonts w:ascii="Times New Roman" w:eastAsia="Times New Roman" w:hAnsi="Times New Roman" w:cs="Times New Roman"/>
          <w:b/>
          <w:color w:val="000000"/>
          <w:sz w:val="24"/>
          <w:szCs w:val="24"/>
        </w:rPr>
        <w:t>publicznych chmu</w:t>
      </w:r>
      <w:r w:rsidR="004D13C4">
        <w:rPr>
          <w:rFonts w:ascii="Times New Roman" w:eastAsia="Times New Roman" w:hAnsi="Times New Roman" w:cs="Times New Roman"/>
          <w:b/>
          <w:color w:val="000000"/>
          <w:sz w:val="24"/>
          <w:szCs w:val="24"/>
        </w:rPr>
        <w:t>rach obliczeniowych</w:t>
      </w:r>
    </w:p>
    <w:p w14:paraId="623B29AB" w14:textId="77777777" w:rsidR="006D0CF8" w:rsidRDefault="006D0CF8" w:rsidP="00A47F31">
      <w:pPr>
        <w:spacing w:after="0" w:line="360" w:lineRule="auto"/>
        <w:jc w:val="center"/>
        <w:rPr>
          <w:rFonts w:ascii="Times New Roman" w:eastAsia="Times New Roman" w:hAnsi="Times New Roman" w:cs="Times New Roman"/>
          <w:b/>
          <w:color w:val="000000"/>
          <w:sz w:val="24"/>
          <w:szCs w:val="24"/>
        </w:rPr>
      </w:pPr>
    </w:p>
    <w:p w14:paraId="12BA7478" w14:textId="77777777" w:rsidR="004D13C4" w:rsidRPr="006D0CF8" w:rsidRDefault="004D13C4" w:rsidP="004D13C4">
      <w:pP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Kryteria obejmują:</w:t>
      </w:r>
    </w:p>
    <w:p w14:paraId="1612CFED" w14:textId="77777777" w:rsidR="006D0CF8" w:rsidRPr="006D0CF8" w:rsidRDefault="006D0CF8" w:rsidP="00011790">
      <w:pPr>
        <w:pStyle w:val="Akapitzlist"/>
        <w:numPr>
          <w:ilvl w:val="0"/>
          <w:numId w:val="10"/>
        </w:numPr>
        <w:spacing w:after="0" w:line="360" w:lineRule="auto"/>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Kategorie systemów teleinformatycznych, które </w:t>
      </w:r>
      <w:r w:rsidRPr="00220B9B">
        <w:rPr>
          <w:rFonts w:ascii="Times New Roman" w:eastAsia="Times New Roman" w:hAnsi="Times New Roman" w:cs="Times New Roman"/>
          <w:color w:val="000000"/>
          <w:sz w:val="24"/>
          <w:szCs w:val="24"/>
        </w:rPr>
        <w:t>mogą korzystać z usług przetwarzania w Rządowej Chmurze Obliczeniowej</w:t>
      </w:r>
      <w:r w:rsidRPr="006D0CF8">
        <w:rPr>
          <w:rFonts w:ascii="Times New Roman" w:eastAsia="Times New Roman" w:hAnsi="Times New Roman" w:cs="Times New Roman"/>
          <w:color w:val="000000"/>
          <w:sz w:val="24"/>
          <w:szCs w:val="24"/>
        </w:rPr>
        <w:t xml:space="preserve">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obliczeniowych wraz z oznaczeniem możliwości utrzymania w Rządowej Chmurze Obliczeniowej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obliczeniowych.</w:t>
      </w:r>
    </w:p>
    <w:p w14:paraId="6ABF70A4" w14:textId="77777777" w:rsidR="006D0CF8" w:rsidRPr="006D0CF8" w:rsidRDefault="006D0CF8" w:rsidP="006D0CF8">
      <w:pPr>
        <w:rPr>
          <w:rFonts w:ascii="Times New Roman" w:hAnsi="Times New Roman" w:cs="Times New Roman"/>
          <w:sz w:val="24"/>
          <w:szCs w:val="24"/>
        </w:rPr>
      </w:pPr>
      <w:r w:rsidRPr="006D0CF8">
        <w:rPr>
          <w:rFonts w:ascii="Times New Roman" w:hAnsi="Times New Roman" w:cs="Times New Roman"/>
          <w:sz w:val="24"/>
          <w:szCs w:val="24"/>
        </w:rPr>
        <w:br w:type="page"/>
      </w:r>
    </w:p>
    <w:p w14:paraId="4D513099" w14:textId="77777777" w:rsidR="006D0CF8" w:rsidRPr="006D0CF8" w:rsidRDefault="006D0CF8" w:rsidP="006D0CF8">
      <w:pPr>
        <w:rPr>
          <w:rFonts w:ascii="Times New Roman" w:hAnsi="Times New Roman" w:cs="Times New Roman"/>
          <w:sz w:val="24"/>
          <w:szCs w:val="24"/>
        </w:rPr>
        <w:sectPr w:rsidR="006D0CF8" w:rsidRPr="006D0CF8">
          <w:pgSz w:w="11906" w:h="16838"/>
          <w:pgMar w:top="1417" w:right="1417" w:bottom="1417" w:left="1417" w:header="708" w:footer="708" w:gutter="0"/>
          <w:cols w:space="708"/>
          <w:docGrid w:linePitch="360"/>
        </w:sectPr>
      </w:pPr>
    </w:p>
    <w:tbl>
      <w:tblPr>
        <w:tblStyle w:val="Tabela-Siatka"/>
        <w:tblpPr w:leftFromText="141" w:rightFromText="141" w:vertAnchor="text" w:tblpY="1"/>
        <w:tblOverlap w:val="never"/>
        <w:tblW w:w="14531" w:type="dxa"/>
        <w:tblLayout w:type="fixed"/>
        <w:tblLook w:val="04A0" w:firstRow="1" w:lastRow="0" w:firstColumn="1" w:lastColumn="0" w:noHBand="0" w:noVBand="1"/>
      </w:tblPr>
      <w:tblGrid>
        <w:gridCol w:w="846"/>
        <w:gridCol w:w="3260"/>
        <w:gridCol w:w="1843"/>
        <w:gridCol w:w="1701"/>
        <w:gridCol w:w="1701"/>
        <w:gridCol w:w="1701"/>
        <w:gridCol w:w="3479"/>
      </w:tblGrid>
      <w:tr w:rsidR="006D0CF8" w:rsidRPr="006D0CF8" w14:paraId="216F5409" w14:textId="77777777" w:rsidTr="00BC11B7">
        <w:trPr>
          <w:tblHeader/>
        </w:trPr>
        <w:tc>
          <w:tcPr>
            <w:tcW w:w="14531" w:type="dxa"/>
            <w:gridSpan w:val="7"/>
          </w:tcPr>
          <w:p w14:paraId="3EC24270" w14:textId="77777777" w:rsidR="006D0CF8" w:rsidRPr="006D0CF8" w:rsidRDefault="006D0CF8" w:rsidP="00ED6E71">
            <w:pPr>
              <w:spacing w:line="360" w:lineRule="auto"/>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lastRenderedPageBreak/>
              <w:t>Kategorie systemów teleinformatycznych, które mogą korzystać z usług w Rządowej Chmurze Obliczeniowej lub w publicznych chmurach obliczeniowych wraz z oznaczeniem możliwości utrzymania w Rządowej Chmurze Obliczeniowej lub w publicznych chmurach obliczeniowych</w:t>
            </w:r>
          </w:p>
          <w:p w14:paraId="3D7B88E5" w14:textId="77777777" w:rsidR="000048C9" w:rsidRDefault="000048C9" w:rsidP="00ED6E71">
            <w:pPr>
              <w:pStyle w:val="Tekstprzypisudolnego"/>
              <w:jc w:val="both"/>
              <w:rPr>
                <w:rFonts w:ascii="Times New Roman" w:eastAsia="Times New Roman" w:hAnsi="Times New Roman" w:cs="Times New Roman"/>
                <w:b/>
                <w:color w:val="000000"/>
                <w:sz w:val="24"/>
                <w:szCs w:val="24"/>
              </w:rPr>
            </w:pPr>
          </w:p>
          <w:p w14:paraId="473F9A99" w14:textId="77777777" w:rsidR="006D0CF8" w:rsidRPr="000048C9" w:rsidRDefault="006D0CF8" w:rsidP="006D0CF8">
            <w:pPr>
              <w:pStyle w:val="Tekstprzypisudolnego"/>
              <w:spacing w:line="360" w:lineRule="auto"/>
              <w:jc w:val="both"/>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 xml:space="preserve">Objaśnienie ogólne: </w:t>
            </w:r>
          </w:p>
          <w:p w14:paraId="6E1ABE84" w14:textId="77777777" w:rsidR="006D0CF8" w:rsidRPr="000048C9"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Kategorie systemów teleinformatycznych przedstawione w tabeli mają charakter co do zasady rozłączny. Kryterium rozróżnienia kategorii uwzględnia główne rodzaje systemów teleinformatycznych działających w organach publicznych oraz ich główne, z punktu widzenia bezpieczeństwa przetwarzania w chmurze, cechy i przeznaczenie. Jeżeli w praktyce może się okaz</w:t>
            </w:r>
            <w:r w:rsidR="000048C9">
              <w:rPr>
                <w:rFonts w:ascii="Times New Roman" w:eastAsia="Times New Roman" w:hAnsi="Times New Roman" w:cs="Times New Roman"/>
                <w:color w:val="000000"/>
                <w:sz w:val="24"/>
                <w:szCs w:val="24"/>
              </w:rPr>
              <w:t>ać, że system można zakwalifikować</w:t>
            </w:r>
            <w:r w:rsidRPr="006D0CF8">
              <w:rPr>
                <w:rFonts w:ascii="Times New Roman" w:eastAsia="Times New Roman" w:hAnsi="Times New Roman" w:cs="Times New Roman"/>
                <w:color w:val="000000"/>
                <w:sz w:val="24"/>
                <w:szCs w:val="24"/>
              </w:rPr>
              <w:t xml:space="preserve"> do dwóch lub więcej kategorii. Jeżeli z objaśnień dla poszczególnych kategorii nie wynika pierwszeństwo dla danej kategorii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określonym typie chmury obliczeniowej decyduje analiza poszczególnego systemu. </w:t>
            </w:r>
          </w:p>
          <w:p w14:paraId="130BAD1D" w14:textId="77777777" w:rsidR="000048C9" w:rsidRDefault="006D0CF8" w:rsidP="00ED6E71">
            <w:pPr>
              <w:pStyle w:val="Tekstprzypisudolnego"/>
              <w:jc w:val="both"/>
              <w:rPr>
                <w:rFonts w:ascii="Times New Roman" w:hAnsi="Times New Roman" w:cs="Times New Roman"/>
                <w:sz w:val="24"/>
                <w:szCs w:val="24"/>
              </w:rPr>
            </w:pPr>
            <w:r w:rsidRPr="006D0CF8">
              <w:rPr>
                <w:rFonts w:ascii="Times New Roman" w:hAnsi="Times New Roman" w:cs="Times New Roman"/>
                <w:sz w:val="24"/>
                <w:szCs w:val="24"/>
              </w:rPr>
              <w:t>Brak oznaczenia w postaci X w kolumnie „brak wykorzystania chmury” oznacza, że system powinien być utrzymywany przy wykorzystaniu usług chmurowych (zasada pierwszeństwa chmury</w:t>
            </w:r>
            <w:r w:rsidRPr="000048C9">
              <w:rPr>
                <w:rFonts w:ascii="Times New Roman" w:hAnsi="Times New Roman" w:cs="Times New Roman"/>
                <w:sz w:val="24"/>
                <w:szCs w:val="24"/>
              </w:rPr>
              <w:t xml:space="preserve">), a rodzaj dopuszczalnych usług chmurowych zależy od oznaczenia w tabeli.  </w:t>
            </w:r>
          </w:p>
          <w:p w14:paraId="41FCFF63" w14:textId="77777777" w:rsidR="000048C9" w:rsidRDefault="006D0CF8" w:rsidP="00ED6E71">
            <w:pPr>
              <w:pStyle w:val="Tekstprzypisudolnego"/>
              <w:jc w:val="both"/>
              <w:rPr>
                <w:rFonts w:ascii="Times New Roman" w:hAnsi="Times New Roman" w:cs="Times New Roman"/>
                <w:sz w:val="24"/>
                <w:szCs w:val="24"/>
              </w:rPr>
            </w:pPr>
            <w:r w:rsidRPr="000048C9">
              <w:rPr>
                <w:rFonts w:ascii="Times New Roman" w:hAnsi="Times New Roman" w:cs="Times New Roman"/>
                <w:sz w:val="24"/>
                <w:szCs w:val="24"/>
              </w:rPr>
              <w:t>Oznaczenie</w:t>
            </w:r>
            <w:r w:rsidRPr="006D0CF8">
              <w:rPr>
                <w:rFonts w:ascii="Times New Roman" w:hAnsi="Times New Roman" w:cs="Times New Roman"/>
                <w:sz w:val="24"/>
                <w:szCs w:val="24"/>
              </w:rPr>
              <w:t xml:space="preserve"> X w</w:t>
            </w:r>
            <w:r>
              <w:rPr>
                <w:rFonts w:ascii="Times New Roman" w:hAnsi="Times New Roman" w:cs="Times New Roman"/>
                <w:sz w:val="24"/>
                <w:szCs w:val="24"/>
              </w:rPr>
              <w:t> </w:t>
            </w:r>
            <w:r w:rsidRPr="006D0CF8">
              <w:rPr>
                <w:rFonts w:ascii="Times New Roman" w:hAnsi="Times New Roman" w:cs="Times New Roman"/>
                <w:sz w:val="24"/>
                <w:szCs w:val="24"/>
              </w:rPr>
              <w:t xml:space="preserve">kolumnie „brak wykorzystania Rządowej Chmury Obliczeniowej” i kolumnie „Rządowa Chmura Obliczeniowa” oznacza możliwość utrzymywania systemu w ramach Dedykowanej Infrastruktury Teleinformatycznej (DIT) lub w Rządowej Chmurze Obliczeniowej w zależności od wyniku przeprowadzonej analizy. </w:t>
            </w:r>
          </w:p>
          <w:p w14:paraId="21DE483E" w14:textId="77777777" w:rsidR="006D0CF8" w:rsidRDefault="006D0CF8" w:rsidP="00ED6E71">
            <w:pPr>
              <w:pStyle w:val="Tekstprzypisudolnego"/>
              <w:jc w:val="both"/>
              <w:rPr>
                <w:rFonts w:ascii="Times New Roman" w:hAnsi="Times New Roman" w:cs="Times New Roman"/>
                <w:sz w:val="24"/>
                <w:szCs w:val="24"/>
              </w:rPr>
            </w:pPr>
            <w:r w:rsidRPr="006D0CF8">
              <w:rPr>
                <w:rFonts w:ascii="Times New Roman" w:hAnsi="Times New Roman" w:cs="Times New Roman"/>
                <w:sz w:val="24"/>
                <w:szCs w:val="24"/>
              </w:rPr>
              <w:t>Analogicznie zasady mają zastosowanie w przypadku pozostałych klasyfikacji.</w:t>
            </w:r>
          </w:p>
          <w:p w14:paraId="67862CBE" w14:textId="77777777" w:rsidR="00ED6E71" w:rsidRPr="006D0CF8" w:rsidRDefault="00ED6E71" w:rsidP="00ED6E71">
            <w:pPr>
              <w:pStyle w:val="Tekstprzypisudolnego"/>
              <w:jc w:val="both"/>
              <w:rPr>
                <w:rFonts w:ascii="Times New Roman" w:eastAsia="Times New Roman" w:hAnsi="Times New Roman" w:cs="Times New Roman"/>
                <w:b/>
                <w:color w:val="000000"/>
                <w:sz w:val="24"/>
                <w:szCs w:val="24"/>
              </w:rPr>
            </w:pPr>
          </w:p>
        </w:tc>
      </w:tr>
      <w:tr w:rsidR="006D0CF8" w:rsidRPr="006D0CF8" w14:paraId="35979666" w14:textId="77777777" w:rsidTr="00ED6E71">
        <w:trPr>
          <w:tblHeader/>
        </w:trPr>
        <w:tc>
          <w:tcPr>
            <w:tcW w:w="846" w:type="dxa"/>
          </w:tcPr>
          <w:p w14:paraId="46F79D09"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Lp. </w:t>
            </w:r>
          </w:p>
        </w:tc>
        <w:tc>
          <w:tcPr>
            <w:tcW w:w="3260" w:type="dxa"/>
          </w:tcPr>
          <w:p w14:paraId="24502BDA"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Kategoria systemów</w:t>
            </w:r>
          </w:p>
        </w:tc>
        <w:tc>
          <w:tcPr>
            <w:tcW w:w="1843" w:type="dxa"/>
          </w:tcPr>
          <w:p w14:paraId="32AF0BE9"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Brak możliwości skorzystania z usług chmurowych określonych w uchwale</w:t>
            </w:r>
            <w:r w:rsidRPr="00ED6E71">
              <w:rPr>
                <w:rStyle w:val="Odwoanieprzypisudolnego"/>
                <w:rFonts w:ascii="Times New Roman" w:eastAsia="Times New Roman" w:hAnsi="Times New Roman" w:cs="Times New Roman"/>
                <w:b/>
                <w:color w:val="000000"/>
              </w:rPr>
              <w:footnoteReference w:id="2"/>
            </w:r>
          </w:p>
          <w:p w14:paraId="0068A897"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(konieczność korzystania z Dedykowanej Infrastruktury Teleinformatycznej - DIT) </w:t>
            </w:r>
          </w:p>
        </w:tc>
        <w:tc>
          <w:tcPr>
            <w:tcW w:w="1701" w:type="dxa"/>
            <w:tcBorders>
              <w:bottom w:val="single" w:sz="4" w:space="0" w:color="auto"/>
            </w:tcBorders>
          </w:tcPr>
          <w:p w14:paraId="4A184C25"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Rządowa Chmura Obliczen</w:t>
            </w:r>
            <w:r w:rsidR="000048C9" w:rsidRPr="00ED6E71">
              <w:rPr>
                <w:rFonts w:ascii="Times New Roman" w:eastAsia="Times New Roman" w:hAnsi="Times New Roman" w:cs="Times New Roman"/>
                <w:b/>
                <w:color w:val="000000"/>
              </w:rPr>
              <w:t>iowa</w:t>
            </w:r>
          </w:p>
        </w:tc>
        <w:tc>
          <w:tcPr>
            <w:tcW w:w="1701" w:type="dxa"/>
          </w:tcPr>
          <w:p w14:paraId="212E167D"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Publiczna Chmura Obliczeniowa w jurysdykcji krajowej</w:t>
            </w:r>
          </w:p>
        </w:tc>
        <w:tc>
          <w:tcPr>
            <w:tcW w:w="1701" w:type="dxa"/>
          </w:tcPr>
          <w:p w14:paraId="0021829F"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Publiczna Chmura Obliczeniowa </w:t>
            </w:r>
            <w:r w:rsidRPr="00297CC0">
              <w:rPr>
                <w:rFonts w:ascii="Times New Roman" w:eastAsia="Times New Roman" w:hAnsi="Times New Roman" w:cs="Times New Roman"/>
                <w:b/>
                <w:color w:val="000000"/>
              </w:rPr>
              <w:t>w jurysdykcji państwa UE</w:t>
            </w:r>
            <w:r w:rsidRPr="00ED6E71">
              <w:rPr>
                <w:rFonts w:ascii="Times New Roman" w:eastAsia="Times New Roman" w:hAnsi="Times New Roman" w:cs="Times New Roman"/>
                <w:b/>
                <w:color w:val="000000"/>
              </w:rPr>
              <w:t xml:space="preserve"> </w:t>
            </w:r>
          </w:p>
        </w:tc>
        <w:tc>
          <w:tcPr>
            <w:tcW w:w="3479" w:type="dxa"/>
          </w:tcPr>
          <w:p w14:paraId="209CACA2"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Objaśnienia dla poszczególnych kategorii </w:t>
            </w:r>
          </w:p>
        </w:tc>
      </w:tr>
      <w:tr w:rsidR="006D0CF8" w:rsidRPr="006D0CF8" w14:paraId="446BD1E8" w14:textId="77777777" w:rsidTr="00ED6E71">
        <w:tc>
          <w:tcPr>
            <w:tcW w:w="846" w:type="dxa"/>
          </w:tcPr>
          <w:p w14:paraId="13719D3A" w14:textId="77777777" w:rsidR="006D0CF8" w:rsidRPr="006D0CF8" w:rsidRDefault="006D0CF8" w:rsidP="00011790">
            <w:pPr>
              <w:pStyle w:val="Akapitzlist"/>
              <w:numPr>
                <w:ilvl w:val="0"/>
                <w:numId w:val="9"/>
              </w:numPr>
              <w:spacing w:after="120"/>
              <w:rPr>
                <w:rFonts w:ascii="Times New Roman" w:eastAsia="Times New Roman" w:hAnsi="Times New Roman" w:cs="Times New Roman"/>
                <w:color w:val="000000"/>
                <w:sz w:val="24"/>
                <w:szCs w:val="24"/>
              </w:rPr>
            </w:pPr>
          </w:p>
        </w:tc>
        <w:tc>
          <w:tcPr>
            <w:tcW w:w="3260" w:type="dxa"/>
          </w:tcPr>
          <w:p w14:paraId="08A96934"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w:t>
            </w:r>
            <w:r w:rsidR="00ED6E71">
              <w:rPr>
                <w:rFonts w:ascii="Times New Roman" w:hAnsi="Times New Roman" w:cs="Times New Roman"/>
                <w:color w:val="000000"/>
                <w:sz w:val="24"/>
                <w:szCs w:val="24"/>
              </w:rPr>
              <w:t>,</w:t>
            </w:r>
            <w:r w:rsidRPr="006D0CF8">
              <w:rPr>
                <w:rFonts w:ascii="Times New Roman" w:hAnsi="Times New Roman" w:cs="Times New Roman"/>
                <w:color w:val="000000"/>
                <w:sz w:val="24"/>
                <w:szCs w:val="24"/>
              </w:rPr>
              <w:t xml:space="preserve"> w których są przetwarzane informację niejawne</w:t>
            </w:r>
          </w:p>
        </w:tc>
        <w:tc>
          <w:tcPr>
            <w:tcW w:w="1843" w:type="dxa"/>
          </w:tcPr>
          <w:p w14:paraId="6635AD08"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43BEE23"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7A2B9392"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74C94697"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68A6071D"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Dotyczy to systemów, które wprost z przepisów ustaw są określone</w:t>
            </w:r>
            <w:r w:rsidR="00ED6E71">
              <w:rPr>
                <w:rFonts w:ascii="Times New Roman" w:eastAsia="Times New Roman" w:hAnsi="Times New Roman" w:cs="Times New Roman"/>
                <w:color w:val="000000"/>
                <w:sz w:val="24"/>
                <w:szCs w:val="24"/>
              </w:rPr>
              <w:t>,</w:t>
            </w:r>
            <w:r w:rsidRPr="006D0CF8">
              <w:rPr>
                <w:rFonts w:ascii="Times New Roman" w:eastAsia="Times New Roman" w:hAnsi="Times New Roman" w:cs="Times New Roman"/>
                <w:color w:val="000000"/>
                <w:sz w:val="24"/>
                <w:szCs w:val="24"/>
              </w:rPr>
              <w:t xml:space="preserve"> jako systemy niejawne lub w stosunku do których uprawnione organy wskazały, iż są w nich przetwarzane informacje niejawne. </w:t>
            </w:r>
          </w:p>
        </w:tc>
      </w:tr>
      <w:tr w:rsidR="006D0CF8" w:rsidRPr="006D0CF8" w14:paraId="3662B5B8" w14:textId="77777777" w:rsidTr="00ED6E71">
        <w:tc>
          <w:tcPr>
            <w:tcW w:w="846" w:type="dxa"/>
          </w:tcPr>
          <w:p w14:paraId="77607A1C" w14:textId="77777777" w:rsidR="006D0CF8" w:rsidRPr="006D0CF8" w:rsidRDefault="006D0CF8" w:rsidP="00011790">
            <w:pPr>
              <w:pStyle w:val="Akapitzlist"/>
              <w:numPr>
                <w:ilvl w:val="0"/>
                <w:numId w:val="9"/>
              </w:numPr>
              <w:spacing w:after="120"/>
              <w:rPr>
                <w:rFonts w:ascii="Times New Roman" w:eastAsia="Times New Roman" w:hAnsi="Times New Roman" w:cs="Times New Roman"/>
                <w:color w:val="000000"/>
                <w:sz w:val="24"/>
                <w:szCs w:val="24"/>
              </w:rPr>
            </w:pPr>
          </w:p>
        </w:tc>
        <w:tc>
          <w:tcPr>
            <w:tcW w:w="3260" w:type="dxa"/>
          </w:tcPr>
          <w:p w14:paraId="4B39734A"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służb specjalnych w rozumieniu art. 11 ustawy o ABW i AW</w:t>
            </w:r>
          </w:p>
        </w:tc>
        <w:tc>
          <w:tcPr>
            <w:tcW w:w="1843" w:type="dxa"/>
          </w:tcPr>
          <w:p w14:paraId="7608C61B"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49A4ED0C"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5726CD49"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069E40E4"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002C165E"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Dotyczy wszystkich systemów służb specjalnych (niezależnie od tego, czy są w nich przetwarzane informacje niejawne), nawet jeżeli te systemy spełniają kryteria kwalifikujące do innej kategorii systemów. Kategoria ta nie obejmuje systemów</w:t>
            </w:r>
            <w:r w:rsidR="00ED6E71">
              <w:rPr>
                <w:rFonts w:ascii="Times New Roman" w:eastAsia="Times New Roman" w:hAnsi="Times New Roman" w:cs="Times New Roman"/>
                <w:color w:val="000000"/>
                <w:sz w:val="24"/>
                <w:szCs w:val="24"/>
              </w:rPr>
              <w:t>,</w:t>
            </w:r>
            <w:r w:rsidRPr="006D0CF8">
              <w:rPr>
                <w:rFonts w:ascii="Times New Roman" w:eastAsia="Times New Roman" w:hAnsi="Times New Roman" w:cs="Times New Roman"/>
                <w:color w:val="000000"/>
                <w:sz w:val="24"/>
                <w:szCs w:val="24"/>
              </w:rPr>
              <w:t xml:space="preserve"> o</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których mowa w pkt 6.</w:t>
            </w:r>
          </w:p>
        </w:tc>
      </w:tr>
      <w:tr w:rsidR="006D0CF8" w:rsidRPr="006D0CF8" w14:paraId="5214A3C4" w14:textId="77777777" w:rsidTr="00ED6E71">
        <w:tc>
          <w:tcPr>
            <w:tcW w:w="846" w:type="dxa"/>
          </w:tcPr>
          <w:p w14:paraId="03E215B6" w14:textId="77777777" w:rsidR="006D0CF8" w:rsidRPr="006D0CF8" w:rsidRDefault="006D0CF8" w:rsidP="00011790">
            <w:pPr>
              <w:pStyle w:val="Akapitzlist"/>
              <w:numPr>
                <w:ilvl w:val="0"/>
                <w:numId w:val="9"/>
              </w:numPr>
              <w:spacing w:after="120"/>
              <w:rPr>
                <w:rFonts w:ascii="Times New Roman" w:eastAsia="Times New Roman" w:hAnsi="Times New Roman" w:cs="Times New Roman"/>
                <w:color w:val="000000"/>
                <w:sz w:val="24"/>
                <w:szCs w:val="24"/>
              </w:rPr>
            </w:pPr>
          </w:p>
        </w:tc>
        <w:tc>
          <w:tcPr>
            <w:tcW w:w="3260" w:type="dxa"/>
          </w:tcPr>
          <w:p w14:paraId="13679C05"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w:t>
            </w:r>
            <w:r w:rsidRPr="006D0CF8">
              <w:rPr>
                <w:rStyle w:val="Odwoanieprzypisudolnego"/>
                <w:rFonts w:ascii="Times New Roman" w:hAnsi="Times New Roman" w:cs="Times New Roman"/>
                <w:color w:val="000000"/>
                <w:sz w:val="24"/>
                <w:szCs w:val="24"/>
              </w:rPr>
              <w:footnoteReference w:id="3"/>
            </w:r>
            <w:r w:rsidRPr="006D0CF8">
              <w:rPr>
                <w:rFonts w:ascii="Times New Roman" w:hAnsi="Times New Roman" w:cs="Times New Roman"/>
                <w:color w:val="000000"/>
                <w:sz w:val="24"/>
                <w:szCs w:val="24"/>
              </w:rPr>
              <w:t>, ewidencji</w:t>
            </w:r>
            <w:r w:rsidRPr="006D0CF8">
              <w:rPr>
                <w:rStyle w:val="Odwoanieprzypisudolnego"/>
                <w:rFonts w:ascii="Times New Roman" w:hAnsi="Times New Roman" w:cs="Times New Roman"/>
                <w:color w:val="000000"/>
                <w:sz w:val="24"/>
                <w:szCs w:val="24"/>
              </w:rPr>
              <w:footnoteReference w:id="4"/>
            </w:r>
            <w:r w:rsidRPr="006D0CF8">
              <w:rPr>
                <w:rFonts w:ascii="Times New Roman" w:hAnsi="Times New Roman" w:cs="Times New Roman"/>
                <w:color w:val="000000"/>
                <w:sz w:val="24"/>
                <w:szCs w:val="24"/>
              </w:rPr>
              <w:t xml:space="preserve"> oraz innych baz danych</w:t>
            </w:r>
            <w:r w:rsidRPr="006D0CF8">
              <w:rPr>
                <w:rStyle w:val="Odwoanieprzypisudolnego"/>
                <w:rFonts w:ascii="Times New Roman" w:hAnsi="Times New Roman" w:cs="Times New Roman"/>
                <w:color w:val="000000"/>
                <w:sz w:val="24"/>
                <w:szCs w:val="24"/>
              </w:rPr>
              <w:footnoteReference w:id="5"/>
            </w:r>
            <w:r w:rsidRPr="006D0CF8">
              <w:rPr>
                <w:rFonts w:ascii="Times New Roman" w:hAnsi="Times New Roman" w:cs="Times New Roman"/>
                <w:color w:val="000000"/>
                <w:sz w:val="24"/>
                <w:szCs w:val="24"/>
              </w:rPr>
              <w:t xml:space="preserve"> przez organy publiczne na podstawie przepisów prawa Unii Europejskiej lub na podstawie zawartych umów międzynarodowych.</w:t>
            </w:r>
          </w:p>
        </w:tc>
        <w:tc>
          <w:tcPr>
            <w:tcW w:w="1843" w:type="dxa"/>
          </w:tcPr>
          <w:p w14:paraId="08D92870"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0DF10225"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71EBF46B"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040CA8C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74B4AB18"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zależności od dokonanej analizy przez podmiot odpowiedzialny za system teleinformatyczny.</w:t>
            </w:r>
          </w:p>
        </w:tc>
      </w:tr>
      <w:tr w:rsidR="006D0CF8" w:rsidRPr="006D0CF8" w14:paraId="1A9BF7E4" w14:textId="77777777" w:rsidTr="00ED6E71">
        <w:tc>
          <w:tcPr>
            <w:tcW w:w="846" w:type="dxa"/>
          </w:tcPr>
          <w:p w14:paraId="7CDB6D57"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08FEAC54"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w:t>
            </w:r>
            <w:r w:rsidRPr="006D0CF8">
              <w:rPr>
                <w:rFonts w:ascii="Times New Roman" w:hAnsi="Times New Roman" w:cs="Times New Roman"/>
                <w:color w:val="000000"/>
                <w:sz w:val="24"/>
                <w:szCs w:val="24"/>
              </w:rPr>
              <w:lastRenderedPageBreak/>
              <w:t>danych, przez organy wymiaru sprawiedliwości, służby lub formacje umundurowane oraz służby odpowiedzialne za zapewnienie porządku i bezpieczeństwa publicznego, z wyłączeniem służb wskazanych w pkt 5.</w:t>
            </w:r>
          </w:p>
        </w:tc>
        <w:tc>
          <w:tcPr>
            <w:tcW w:w="1843" w:type="dxa"/>
          </w:tcPr>
          <w:p w14:paraId="2D25C099"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lastRenderedPageBreak/>
              <w:t>X</w:t>
            </w:r>
          </w:p>
        </w:tc>
        <w:tc>
          <w:tcPr>
            <w:tcW w:w="1701" w:type="dxa"/>
          </w:tcPr>
          <w:p w14:paraId="1C5A7C42"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565DBF2D"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657BFAF6"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6057927F"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W zależności od dokonanej analizy przez podmiot odpowiedzialny za system teleinformatyczny. </w:t>
            </w:r>
          </w:p>
        </w:tc>
      </w:tr>
      <w:tr w:rsidR="006D0CF8" w:rsidRPr="006D0CF8" w14:paraId="5C60AC13" w14:textId="77777777" w:rsidTr="00ED6E71">
        <w:tc>
          <w:tcPr>
            <w:tcW w:w="846" w:type="dxa"/>
          </w:tcPr>
          <w:p w14:paraId="6C81B2ED"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46BA2AC7" w14:textId="77777777" w:rsidR="006D0CF8" w:rsidRPr="006D0CF8" w:rsidRDefault="006D0CF8" w:rsidP="006D2D1D">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w:t>
            </w:r>
            <w:r w:rsidR="00701A87">
              <w:rPr>
                <w:rFonts w:ascii="Times New Roman" w:hAnsi="Times New Roman" w:cs="Times New Roman"/>
                <w:color w:val="000000"/>
                <w:sz w:val="24"/>
                <w:szCs w:val="24"/>
              </w:rPr>
              <w:t>y</w:t>
            </w:r>
            <w:r w:rsidRPr="006D0CF8">
              <w:rPr>
                <w:rFonts w:ascii="Times New Roman" w:hAnsi="Times New Roman" w:cs="Times New Roman"/>
                <w:color w:val="000000"/>
                <w:sz w:val="24"/>
                <w:szCs w:val="24"/>
              </w:rPr>
              <w:t xml:space="preserve"> teleinformatyczne wykorzystywane do prowadzenia rejestrów, ewidencji oraz innych baz danych, prowadzone przez straże gminne, straże leśne</w:t>
            </w:r>
            <w:r w:rsidR="00834BFD">
              <w:rPr>
                <w:rFonts w:ascii="Times New Roman" w:hAnsi="Times New Roman" w:cs="Times New Roman"/>
                <w:color w:val="000000"/>
                <w:sz w:val="24"/>
                <w:szCs w:val="24"/>
              </w:rPr>
              <w:t>.</w:t>
            </w:r>
          </w:p>
        </w:tc>
        <w:tc>
          <w:tcPr>
            <w:tcW w:w="1843" w:type="dxa"/>
          </w:tcPr>
          <w:p w14:paraId="6F07F7B8"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1FB74F79"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567091B9"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37934BF6"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28D5E978"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14:paraId="316A76EA" w14:textId="77777777" w:rsidR="006D0CF8" w:rsidRPr="006D0CF8" w:rsidRDefault="006D0CF8" w:rsidP="00ED6E71">
            <w:pPr>
              <w:jc w:val="both"/>
              <w:rPr>
                <w:rFonts w:ascii="Times New Roman" w:eastAsia="Times New Roman" w:hAnsi="Times New Roman" w:cs="Times New Roman"/>
                <w:color w:val="000000"/>
                <w:sz w:val="24"/>
                <w:szCs w:val="24"/>
              </w:rPr>
            </w:pPr>
          </w:p>
        </w:tc>
      </w:tr>
      <w:tr w:rsidR="006D0CF8" w:rsidRPr="006D0CF8" w14:paraId="7A4AD1D5" w14:textId="77777777" w:rsidTr="00ED6E71">
        <w:tc>
          <w:tcPr>
            <w:tcW w:w="846" w:type="dxa"/>
          </w:tcPr>
          <w:p w14:paraId="03B6302B"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7F629E3C"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danych, przez organy publiczne, w których </w:t>
            </w:r>
            <w:r w:rsidRPr="006D0CF8">
              <w:rPr>
                <w:rFonts w:ascii="Times New Roman" w:hAnsi="Times New Roman" w:cs="Times New Roman"/>
                <w:b/>
                <w:color w:val="000000"/>
                <w:sz w:val="24"/>
                <w:szCs w:val="24"/>
              </w:rPr>
              <w:t>przetwarzane są dane referencyjne</w:t>
            </w:r>
            <w:r w:rsidRPr="006D0CF8">
              <w:rPr>
                <w:rFonts w:ascii="Times New Roman" w:hAnsi="Times New Roman" w:cs="Times New Roman"/>
                <w:color w:val="000000"/>
                <w:sz w:val="24"/>
                <w:szCs w:val="24"/>
              </w:rPr>
              <w:t>, wykorzystywane w funkcjonalnościach przewidzianych w art. 35 ustawy o ABW i AW</w:t>
            </w:r>
            <w:r w:rsidRPr="006D0CF8">
              <w:rPr>
                <w:rStyle w:val="Odwoanieprzypisudolnego"/>
                <w:rFonts w:ascii="Times New Roman" w:hAnsi="Times New Roman" w:cs="Times New Roman"/>
                <w:color w:val="000000"/>
                <w:sz w:val="24"/>
                <w:szCs w:val="24"/>
              </w:rPr>
              <w:footnoteReference w:id="6"/>
            </w:r>
          </w:p>
        </w:tc>
        <w:tc>
          <w:tcPr>
            <w:tcW w:w="1843" w:type="dxa"/>
          </w:tcPr>
          <w:p w14:paraId="055D61FB"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A848929"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798EE5D3"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7A13BA1F"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61D83BCF"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zależności od dokonanej analizy przez podmiot odpowiedzialny za system teleinformatyczny. Analiza powinna uwzględniać możliwość rozdzielenia komponentów systemów teleinformatycznych, w których realizowane są funkcjonalności ABW i AW.</w:t>
            </w:r>
          </w:p>
          <w:p w14:paraId="3F7B5A7A"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Nie obejmuje systemów teleinformatycznych, które nie wchodzą w zakres podmiotowy uchwały oraz systemów podmiotów prywatnych np. </w:t>
            </w:r>
            <w:r w:rsidRPr="006D0CF8">
              <w:rPr>
                <w:rFonts w:ascii="Times New Roman" w:eastAsia="Times New Roman" w:hAnsi="Times New Roman" w:cs="Times New Roman"/>
                <w:color w:val="000000"/>
                <w:sz w:val="24"/>
                <w:szCs w:val="24"/>
              </w:rPr>
              <w:lastRenderedPageBreak/>
              <w:t xml:space="preserve">systemów teleinformatycznych przy użyciu których wydawane są środki identyfikacji elektronicznej  </w:t>
            </w:r>
          </w:p>
        </w:tc>
      </w:tr>
      <w:tr w:rsidR="006D0CF8" w:rsidRPr="006D0CF8" w14:paraId="3B32B6C8" w14:textId="77777777" w:rsidTr="00ED6E71">
        <w:tc>
          <w:tcPr>
            <w:tcW w:w="846" w:type="dxa"/>
          </w:tcPr>
          <w:p w14:paraId="2360DE94"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5647938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danych, zawierające dane referencyjne inne niż wskazane w pkt. 6 </w:t>
            </w:r>
          </w:p>
        </w:tc>
        <w:tc>
          <w:tcPr>
            <w:tcW w:w="1843" w:type="dxa"/>
          </w:tcPr>
          <w:p w14:paraId="12F391FD"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253458A0"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438B110"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DEDA2D4"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508C8E0F"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tc>
      </w:tr>
      <w:tr w:rsidR="006D0CF8" w:rsidRPr="006D0CF8" w14:paraId="30145BC2" w14:textId="77777777" w:rsidTr="00ED6E71">
        <w:tc>
          <w:tcPr>
            <w:tcW w:w="846" w:type="dxa"/>
          </w:tcPr>
          <w:p w14:paraId="239AEEA0"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09C12D0C"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 ewidencji oraz innych baz danych, w których są przetwarzane szczególne kategorie danych osobowych w rozumieniu art. 9 i 10 RODO.</w:t>
            </w:r>
          </w:p>
        </w:tc>
        <w:tc>
          <w:tcPr>
            <w:tcW w:w="1843" w:type="dxa"/>
          </w:tcPr>
          <w:p w14:paraId="52E9CC52"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6E505102"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1A40B729"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FBF5611"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2A55B088"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14:paraId="3462098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ile systemy mieszczą się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kategoriach 3-6, klasyfikacja powinna być dokonana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oparciu o kryteria z pkt 3-6.  </w:t>
            </w:r>
          </w:p>
        </w:tc>
      </w:tr>
      <w:tr w:rsidR="006D0CF8" w:rsidRPr="006D0CF8" w14:paraId="55526C80" w14:textId="77777777" w:rsidTr="00ED6E71">
        <w:tc>
          <w:tcPr>
            <w:tcW w:w="846" w:type="dxa"/>
          </w:tcPr>
          <w:p w14:paraId="1810E18B"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5AA95096"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 ewidencji oraz innych baz danych innych niż w pkt 3-7 jeżeli prowadzone są one na podstawie przepisów powszechnie obowiązujących a w szczególności wpisy do tych rejestrów ewidencji i baz danych mają skutek prawny.</w:t>
            </w:r>
          </w:p>
        </w:tc>
        <w:tc>
          <w:tcPr>
            <w:tcW w:w="1843" w:type="dxa"/>
          </w:tcPr>
          <w:p w14:paraId="2C856216"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1410A66F"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5DCDABE4"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648332E"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0AE02E0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danej możliwej chmurze obliczeniowej decyduje wynik analizy.  Skutek prawny systemu rozumiany jest jako skutek konstytutywny jak i</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deklaratoryjny.</w:t>
            </w:r>
          </w:p>
        </w:tc>
      </w:tr>
      <w:tr w:rsidR="006D0CF8" w:rsidRPr="006D0CF8" w14:paraId="12EE5086" w14:textId="77777777" w:rsidTr="00ED6E71">
        <w:tc>
          <w:tcPr>
            <w:tcW w:w="846" w:type="dxa"/>
          </w:tcPr>
          <w:p w14:paraId="56195FE9"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26815FB0"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w:t>
            </w:r>
            <w:r w:rsidRPr="006D0CF8">
              <w:rPr>
                <w:rFonts w:ascii="Times New Roman" w:hAnsi="Times New Roman" w:cs="Times New Roman"/>
                <w:color w:val="000000"/>
                <w:sz w:val="24"/>
                <w:szCs w:val="24"/>
              </w:rPr>
              <w:lastRenderedPageBreak/>
              <w:t xml:space="preserve">ewidencji oraz innych baz danych innych niż w pkt 1-7 jeżeli prowadzone są one przez podmioty na własny użytek i mają charakter wspomagający. </w:t>
            </w:r>
          </w:p>
        </w:tc>
        <w:tc>
          <w:tcPr>
            <w:tcW w:w="1843" w:type="dxa"/>
          </w:tcPr>
          <w:p w14:paraId="4C40A7F2"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6777D3EA"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7B09B283"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E124B1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5ED89DBB"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w:t>
            </w:r>
            <w:r w:rsidRPr="006D0CF8">
              <w:rPr>
                <w:rFonts w:ascii="Times New Roman" w:eastAsia="Times New Roman" w:hAnsi="Times New Roman" w:cs="Times New Roman"/>
                <w:color w:val="000000"/>
                <w:sz w:val="24"/>
                <w:szCs w:val="24"/>
              </w:rPr>
              <w:lastRenderedPageBreak/>
              <w:t xml:space="preserve">obliczeniowej decyduje wynik analizy.  </w:t>
            </w:r>
          </w:p>
          <w:p w14:paraId="3727F4FD"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Kategoria obejmuje systemy </w:t>
            </w:r>
            <w:r w:rsidRPr="006D0CF8">
              <w:rPr>
                <w:rFonts w:ascii="Times New Roman" w:hAnsi="Times New Roman" w:cs="Times New Roman"/>
                <w:color w:val="000000"/>
                <w:sz w:val="24"/>
                <w:szCs w:val="24"/>
              </w:rPr>
              <w:t xml:space="preserve">do prowadzenia rejestrów, ewidencji oraz innych baz danych, których nie reguluje prawo powszechnie obowiązujące a organ stworzył je w celu ulepszenia realizacji zadań publicznych np. spisy, wewnętrzne ewidencje lub bazy danych, na podstawie których na bieżąco realizuje określone prawem zadania publiczne. </w:t>
            </w:r>
          </w:p>
        </w:tc>
      </w:tr>
      <w:tr w:rsidR="006D0CF8" w:rsidRPr="006D0CF8" w14:paraId="19D8396C" w14:textId="77777777" w:rsidTr="00ED6E71">
        <w:tc>
          <w:tcPr>
            <w:tcW w:w="846" w:type="dxa"/>
          </w:tcPr>
          <w:p w14:paraId="5B93EA83"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54988884"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udostępniania informacji publicznej lub udostępniania informacji sektora publicznego do ponownego wykorzystania (otwarte dane)</w:t>
            </w:r>
          </w:p>
        </w:tc>
        <w:tc>
          <w:tcPr>
            <w:tcW w:w="1843" w:type="dxa"/>
          </w:tcPr>
          <w:p w14:paraId="7ABA237D"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51F0760F"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10EDFCD6"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150959FD"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22CDF3E3"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Kategoria obejmuje samodzieln</w:t>
            </w:r>
            <w:r w:rsidR="00ED6E71">
              <w:rPr>
                <w:rFonts w:ascii="Times New Roman" w:eastAsia="Times New Roman" w:hAnsi="Times New Roman" w:cs="Times New Roman"/>
                <w:color w:val="000000"/>
                <w:sz w:val="24"/>
                <w:szCs w:val="24"/>
              </w:rPr>
              <w:t xml:space="preserve">e systemy teleinformatyczne nie </w:t>
            </w:r>
            <w:r w:rsidRPr="006D0CF8">
              <w:rPr>
                <w:rFonts w:ascii="Times New Roman" w:eastAsia="Times New Roman" w:hAnsi="Times New Roman" w:cs="Times New Roman"/>
                <w:color w:val="000000"/>
                <w:sz w:val="24"/>
                <w:szCs w:val="24"/>
              </w:rPr>
              <w:t xml:space="preserve">będące częścią systemów należących do kategorii 4-9. </w:t>
            </w:r>
          </w:p>
          <w:p w14:paraId="52120F0D"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Pod warunkiem zakwalifikowania podmiotu odpowiedzialnego za system do zakresu podmiotowego uchwały. </w:t>
            </w:r>
          </w:p>
        </w:tc>
      </w:tr>
      <w:tr w:rsidR="006D0CF8" w:rsidRPr="006D0CF8" w14:paraId="2AD9F37B" w14:textId="77777777" w:rsidTr="00ED6E71">
        <w:tc>
          <w:tcPr>
            <w:tcW w:w="846" w:type="dxa"/>
          </w:tcPr>
          <w:p w14:paraId="171F9398"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316DD9E7"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 ramach których świadczone są usługi elektroniczne organów administracji publicznej.</w:t>
            </w:r>
          </w:p>
        </w:tc>
        <w:tc>
          <w:tcPr>
            <w:tcW w:w="1843" w:type="dxa"/>
          </w:tcPr>
          <w:p w14:paraId="5E4D48C9"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55EE2700"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2C5B1EFE"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EC0B0A5"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0145708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14:paraId="5FFAA290"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Kategoria obejmuje systemy teleinformatyczne:</w:t>
            </w:r>
          </w:p>
          <w:p w14:paraId="2D3B5F02"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przeznaczone do udostępniania danych z rejestrów, ewidencji lub innych baz danych w drodze zapytań jednostkowych,</w:t>
            </w:r>
          </w:p>
          <w:p w14:paraId="59B895DC"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lastRenderedPageBreak/>
              <w:t>- transakcyjne, wykorzystujące dane pochodzące z rejestrów, ewidencji lub innych baz danych,</w:t>
            </w:r>
          </w:p>
          <w:p w14:paraId="1959F35D"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pozwalające na wnoszenie do organów administracji publicznej, oraz doręczenia przez te organy, dokumentów stanowiących elementy postępowań administracyjnych, oraz innych, przewidzianych w przepisach prawa, czynności realizowanych przez te organy.</w:t>
            </w:r>
          </w:p>
        </w:tc>
      </w:tr>
      <w:tr w:rsidR="006D0CF8" w:rsidRPr="006D0CF8" w14:paraId="2EC000C6" w14:textId="77777777" w:rsidTr="00ED6E71">
        <w:tc>
          <w:tcPr>
            <w:tcW w:w="846" w:type="dxa"/>
          </w:tcPr>
          <w:p w14:paraId="065E6E1C"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6FB2D30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klasy służące do prowadzenia wewnętrznego elektronicznego obiegu dokumentacji/ elektronicznego zarządzania dokumentacją.</w:t>
            </w:r>
          </w:p>
        </w:tc>
        <w:tc>
          <w:tcPr>
            <w:tcW w:w="1843" w:type="dxa"/>
          </w:tcPr>
          <w:p w14:paraId="3A56AFDA"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2AA4FEDC"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16D20E66"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137F15A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0D6F77A6"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decyduje wynik analizy.  </w:t>
            </w:r>
          </w:p>
          <w:p w14:paraId="084DE111" w14:textId="77777777" w:rsidR="006D0CF8" w:rsidRPr="006D0CF8" w:rsidRDefault="006D0CF8" w:rsidP="00ED6E71">
            <w:pPr>
              <w:jc w:val="both"/>
              <w:rPr>
                <w:rFonts w:ascii="Times New Roman" w:eastAsia="Times New Roman" w:hAnsi="Times New Roman" w:cs="Times New Roman"/>
                <w:color w:val="000000"/>
                <w:sz w:val="24"/>
                <w:szCs w:val="24"/>
              </w:rPr>
            </w:pPr>
          </w:p>
        </w:tc>
      </w:tr>
      <w:tr w:rsidR="006D0CF8" w:rsidRPr="006D0CF8" w14:paraId="1CF9F056" w14:textId="77777777" w:rsidTr="00ED6E71">
        <w:tc>
          <w:tcPr>
            <w:tcW w:w="846" w:type="dxa"/>
          </w:tcPr>
          <w:p w14:paraId="16EA7D3B"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3CD2F6FB"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klasy ERP i CRM itp.</w:t>
            </w:r>
          </w:p>
        </w:tc>
        <w:tc>
          <w:tcPr>
            <w:tcW w:w="1843" w:type="dxa"/>
          </w:tcPr>
          <w:p w14:paraId="0459DE05"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06A70956"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511DDF77"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0212AD0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218596E1"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danej możliwej chmurze decyduje wynik analizy.</w:t>
            </w:r>
          </w:p>
        </w:tc>
      </w:tr>
      <w:tr w:rsidR="006D0CF8" w:rsidRPr="006D0CF8" w14:paraId="4F619532" w14:textId="77777777" w:rsidTr="00ED6E71">
        <w:tc>
          <w:tcPr>
            <w:tcW w:w="846" w:type="dxa"/>
          </w:tcPr>
          <w:p w14:paraId="3B85DF5F" w14:textId="77777777" w:rsidR="006D0CF8" w:rsidRPr="006D0CF8" w:rsidRDefault="006D0CF8" w:rsidP="00011790">
            <w:pPr>
              <w:pStyle w:val="Akapitzlist"/>
              <w:numPr>
                <w:ilvl w:val="0"/>
                <w:numId w:val="9"/>
              </w:numPr>
              <w:spacing w:after="120"/>
              <w:jc w:val="both"/>
              <w:rPr>
                <w:rFonts w:ascii="Times New Roman" w:eastAsia="Times New Roman" w:hAnsi="Times New Roman" w:cs="Times New Roman"/>
                <w:color w:val="000000"/>
                <w:sz w:val="24"/>
                <w:szCs w:val="24"/>
              </w:rPr>
            </w:pPr>
          </w:p>
        </w:tc>
        <w:tc>
          <w:tcPr>
            <w:tcW w:w="3260" w:type="dxa"/>
          </w:tcPr>
          <w:p w14:paraId="19D707F8"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Pozostałe systemy teleinformatyczne.</w:t>
            </w:r>
          </w:p>
        </w:tc>
        <w:tc>
          <w:tcPr>
            <w:tcW w:w="1843" w:type="dxa"/>
          </w:tcPr>
          <w:p w14:paraId="6959815E"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29C4EFE8"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03345B52"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0AA00992"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389BE309"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Kategoria obejmuje inne systemy świadczące usługi obsługowe na wewnętrzny użytek, zapewniające komunikacje np. systemy ekstranetowe, intranetowe lub poczty elektronicznej. </w:t>
            </w:r>
          </w:p>
        </w:tc>
      </w:tr>
    </w:tbl>
    <w:p w14:paraId="6DA56DE9" w14:textId="77777777" w:rsidR="006D0CF8" w:rsidRPr="00BF21F2" w:rsidRDefault="00BF21F2" w:rsidP="00BF21F2">
      <w:pPr>
        <w:tabs>
          <w:tab w:val="left" w:pos="11783"/>
        </w:tabs>
        <w:rPr>
          <w:rFonts w:ascii="Times New Roman" w:hAnsi="Times New Roman" w:cs="Times New Roman"/>
          <w:sz w:val="24"/>
          <w:szCs w:val="24"/>
        </w:rPr>
        <w:sectPr w:rsidR="006D0CF8" w:rsidRPr="00BF21F2" w:rsidSect="00BC11B7">
          <w:pgSz w:w="16838" w:h="11906" w:orient="landscape"/>
          <w:pgMar w:top="1418" w:right="1418" w:bottom="1418" w:left="1418" w:header="709" w:footer="709" w:gutter="0"/>
          <w:cols w:space="708"/>
          <w:docGrid w:linePitch="360"/>
        </w:sectPr>
      </w:pPr>
      <w:r>
        <w:rPr>
          <w:rFonts w:ascii="Times New Roman" w:hAnsi="Times New Roman" w:cs="Times New Roman"/>
          <w:sz w:val="24"/>
          <w:szCs w:val="24"/>
        </w:rPr>
        <w:tab/>
      </w:r>
    </w:p>
    <w:p w14:paraId="7E76802C" w14:textId="77777777" w:rsidR="006D0CF8" w:rsidRPr="00ED6E71" w:rsidRDefault="006D0CF8" w:rsidP="00011790">
      <w:pPr>
        <w:pStyle w:val="Akapitzlist"/>
        <w:numPr>
          <w:ilvl w:val="0"/>
          <w:numId w:val="10"/>
        </w:numPr>
        <w:spacing w:after="0" w:line="360" w:lineRule="auto"/>
        <w:jc w:val="both"/>
        <w:rPr>
          <w:rFonts w:ascii="Times New Roman" w:eastAsia="Times New Roman" w:hAnsi="Times New Roman" w:cs="Times New Roman"/>
          <w:color w:val="000000"/>
          <w:sz w:val="24"/>
          <w:szCs w:val="24"/>
        </w:rPr>
      </w:pPr>
      <w:r w:rsidRPr="00ED6E71">
        <w:rPr>
          <w:rFonts w:ascii="Times New Roman" w:eastAsia="Times New Roman" w:hAnsi="Times New Roman" w:cs="Times New Roman"/>
          <w:color w:val="000000"/>
          <w:sz w:val="24"/>
          <w:szCs w:val="24"/>
        </w:rPr>
        <w:lastRenderedPageBreak/>
        <w:t xml:space="preserve">Kryteria analizy możliwości korzystania przez dany system z usług przetwarzania w Rządowej Chmurze </w:t>
      </w:r>
      <w:r w:rsidR="00ED6E71">
        <w:rPr>
          <w:rFonts w:ascii="Times New Roman" w:eastAsia="Times New Roman" w:hAnsi="Times New Roman" w:cs="Times New Roman"/>
          <w:color w:val="000000"/>
          <w:sz w:val="24"/>
          <w:szCs w:val="24"/>
        </w:rPr>
        <w:t>Obliczeniowej lub w określonej publicznej chmurze o</w:t>
      </w:r>
      <w:r w:rsidRPr="00ED6E71">
        <w:rPr>
          <w:rFonts w:ascii="Times New Roman" w:eastAsia="Times New Roman" w:hAnsi="Times New Roman" w:cs="Times New Roman"/>
          <w:color w:val="000000"/>
          <w:sz w:val="24"/>
          <w:szCs w:val="24"/>
        </w:rPr>
        <w:t>bliczeniowej.</w:t>
      </w:r>
    </w:p>
    <w:p w14:paraId="232013FE" w14:textId="77777777" w:rsidR="00ED6E71" w:rsidRDefault="00ED6E71" w:rsidP="006D0CF8">
      <w:pPr>
        <w:spacing w:after="0" w:line="360" w:lineRule="auto"/>
        <w:jc w:val="both"/>
        <w:rPr>
          <w:rFonts w:ascii="Times New Roman" w:eastAsia="Times New Roman" w:hAnsi="Times New Roman" w:cs="Times New Roman"/>
          <w:color w:val="000000"/>
          <w:sz w:val="24"/>
          <w:szCs w:val="24"/>
        </w:rPr>
      </w:pPr>
    </w:p>
    <w:p w14:paraId="20ABC26E" w14:textId="77777777" w:rsidR="006D0CF8" w:rsidRPr="006D0CF8" w:rsidRDefault="004E685E" w:rsidP="006D0CF8">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6D0CF8" w:rsidRPr="006D0CF8">
        <w:rPr>
          <w:rFonts w:ascii="Times New Roman" w:eastAsia="Times New Roman" w:hAnsi="Times New Roman" w:cs="Times New Roman"/>
          <w:color w:val="000000"/>
          <w:sz w:val="24"/>
          <w:szCs w:val="24"/>
        </w:rPr>
        <w:t xml:space="preserve">naliza podmiotu odpowiedzialnego za system teleinformatyczny wykorzystywany </w:t>
      </w:r>
      <w:r w:rsidR="006D0CF8" w:rsidRPr="006D0CF8">
        <w:rPr>
          <w:rFonts w:ascii="Times New Roman" w:hAnsi="Times New Roman" w:cs="Times New Roman"/>
          <w:color w:val="000000"/>
          <w:sz w:val="24"/>
          <w:szCs w:val="24"/>
        </w:rPr>
        <w:t>do prowadzenia rejestrów, ewidencji oraz innych baz danych oraz pozostałych systemów służy dokonaniu oceny optymalnego i bezpiecznego wykorzystania usług chmurowych ww. kategorii.  Analizy należy dokonywać w ramach dostępnych chmur obliczeniowych określonych w tabeli: „</w:t>
      </w:r>
      <w:r w:rsidR="006D0CF8" w:rsidRPr="006D0CF8">
        <w:rPr>
          <w:rFonts w:ascii="Times New Roman" w:eastAsia="Times New Roman" w:hAnsi="Times New Roman" w:cs="Times New Roman"/>
          <w:color w:val="000000"/>
          <w:sz w:val="24"/>
          <w:szCs w:val="24"/>
        </w:rPr>
        <w:t xml:space="preserve">Kategorie </w:t>
      </w:r>
      <w:r w:rsidR="006D0CF8" w:rsidRPr="00ED6E71">
        <w:rPr>
          <w:rFonts w:ascii="Times New Roman" w:eastAsia="Times New Roman" w:hAnsi="Times New Roman" w:cs="Times New Roman"/>
          <w:color w:val="000000"/>
          <w:sz w:val="24"/>
          <w:szCs w:val="24"/>
        </w:rPr>
        <w:t>systemów teleinformatycznych, które mogą korzystać z usług przetwarzania w Rządowej Chmurze Obliczeniowej lub w publicznych chmurach obliczeniowych wraz z oznaczeniem możliwości</w:t>
      </w:r>
      <w:r w:rsidR="006D0CF8" w:rsidRPr="006D0CF8">
        <w:rPr>
          <w:rFonts w:ascii="Times New Roman" w:eastAsia="Times New Roman" w:hAnsi="Times New Roman" w:cs="Times New Roman"/>
          <w:color w:val="000000"/>
          <w:sz w:val="24"/>
          <w:szCs w:val="24"/>
        </w:rPr>
        <w:t xml:space="preserve"> utrzymania w Rządowej Chmurze Obliczeniowej lub w publicznych chmurach</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obliczeniowych”</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W</w:t>
      </w:r>
      <w:r w:rsidR="00AF013B">
        <w:rPr>
          <w:rFonts w:ascii="Times New Roman" w:eastAsia="Times New Roman" w:hAnsi="Times New Roman" w:cs="Times New Roman"/>
          <w:color w:val="000000"/>
          <w:sz w:val="24"/>
          <w:szCs w:val="24"/>
        </w:rPr>
        <w:t xml:space="preserve"> przypadku gdy w wyniku analizy stwierdzona zostanie dopuszczalność </w:t>
      </w:r>
      <w:r w:rsidR="006D0CF8" w:rsidRPr="006D0CF8">
        <w:rPr>
          <w:rFonts w:ascii="Times New Roman" w:eastAsia="Times New Roman" w:hAnsi="Times New Roman" w:cs="Times New Roman"/>
          <w:color w:val="000000"/>
          <w:sz w:val="24"/>
          <w:szCs w:val="24"/>
        </w:rPr>
        <w:t xml:space="preserve">utrzymania danego systemu w Rządowej Chmurze </w:t>
      </w:r>
      <w:r w:rsidR="00ED6E71">
        <w:rPr>
          <w:rFonts w:ascii="Times New Roman" w:eastAsia="Times New Roman" w:hAnsi="Times New Roman" w:cs="Times New Roman"/>
          <w:color w:val="000000"/>
          <w:sz w:val="24"/>
          <w:szCs w:val="24"/>
        </w:rPr>
        <w:t>Obliczeniowej lub w określonej publicznej chmurze o</w:t>
      </w:r>
      <w:r w:rsidR="006D0CF8" w:rsidRPr="006D0CF8">
        <w:rPr>
          <w:rFonts w:ascii="Times New Roman" w:eastAsia="Times New Roman" w:hAnsi="Times New Roman" w:cs="Times New Roman"/>
          <w:color w:val="000000"/>
          <w:sz w:val="24"/>
          <w:szCs w:val="24"/>
        </w:rPr>
        <w:t>bliczeniowej</w:t>
      </w:r>
      <w:r w:rsidR="00AF013B">
        <w:rPr>
          <w:rFonts w:ascii="Times New Roman" w:eastAsia="Times New Roman" w:hAnsi="Times New Roman" w:cs="Times New Roman"/>
          <w:color w:val="000000"/>
          <w:sz w:val="24"/>
          <w:szCs w:val="24"/>
        </w:rPr>
        <w:t xml:space="preserve">, system powinien zostać ulokowany w odpowiedniej chmurze. Niekorzystanie w powyższym przypadku </w:t>
      </w:r>
      <w:r w:rsidR="00240D91">
        <w:rPr>
          <w:rFonts w:ascii="Times New Roman" w:eastAsia="Times New Roman" w:hAnsi="Times New Roman" w:cs="Times New Roman"/>
          <w:color w:val="000000"/>
          <w:sz w:val="24"/>
          <w:szCs w:val="24"/>
        </w:rPr>
        <w:t xml:space="preserve"> </w:t>
      </w:r>
      <w:r w:rsidR="00AF013B">
        <w:rPr>
          <w:rFonts w:ascii="Times New Roman" w:eastAsia="Times New Roman" w:hAnsi="Times New Roman" w:cs="Times New Roman"/>
          <w:color w:val="000000"/>
          <w:sz w:val="24"/>
          <w:szCs w:val="24"/>
        </w:rPr>
        <w:t>z usług chmurowych wymaga uzasadnienia</w:t>
      </w:r>
      <w:r w:rsidR="006D0CF8" w:rsidRPr="006D0CF8">
        <w:rPr>
          <w:rFonts w:ascii="Times New Roman" w:eastAsia="Times New Roman" w:hAnsi="Times New Roman" w:cs="Times New Roman"/>
          <w:color w:val="000000"/>
          <w:sz w:val="24"/>
          <w:szCs w:val="24"/>
        </w:rPr>
        <w:t>.</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Do przeprowadzenia analizy zobowiązany jest podmiot odpowiedzialny za system teleinformatyczny.</w:t>
      </w:r>
      <w:r w:rsidR="006D0CF8" w:rsidRPr="006D0CF8">
        <w:rPr>
          <w:rFonts w:ascii="Times New Roman" w:eastAsia="Times New Roman" w:hAnsi="Times New Roman" w:cs="Times New Roman"/>
          <w:b/>
          <w:color w:val="000000"/>
          <w:sz w:val="24"/>
          <w:szCs w:val="24"/>
        </w:rPr>
        <w:t xml:space="preserve"> </w:t>
      </w:r>
    </w:p>
    <w:p w14:paraId="784EB08D" w14:textId="77777777" w:rsidR="006D0CF8" w:rsidRPr="006D0CF8" w:rsidRDefault="006D0CF8" w:rsidP="006D0CF8">
      <w:pPr>
        <w:spacing w:after="0" w:line="360" w:lineRule="auto"/>
        <w:jc w:val="both"/>
        <w:rPr>
          <w:rFonts w:ascii="Times New Roman" w:eastAsia="Times New Roman" w:hAnsi="Times New Roman" w:cs="Times New Roman"/>
          <w:b/>
          <w:color w:val="000000"/>
          <w:sz w:val="24"/>
          <w:szCs w:val="24"/>
        </w:rPr>
      </w:pPr>
    </w:p>
    <w:p w14:paraId="7DD81312" w14:textId="77777777" w:rsidR="006D0CF8" w:rsidRPr="006D0CF8" w:rsidRDefault="006D0CF8" w:rsidP="006D0CF8">
      <w:pPr>
        <w:spacing w:after="0" w:line="360" w:lineRule="auto"/>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przypadku systemów teleinformatycznych, które mogą korzystać z usług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Rządowej Chmurze Obliczeniowej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 xml:space="preserve">obliczeniowych analiza powinna uwzględniać, w szczególności czy: </w:t>
      </w:r>
    </w:p>
    <w:p w14:paraId="6560917F" w14:textId="77777777" w:rsidR="006D0CF8" w:rsidRPr="006D0CF8" w:rsidRDefault="006D0CF8" w:rsidP="00011790">
      <w:pPr>
        <w:pStyle w:val="Akapitzlist"/>
        <w:numPr>
          <w:ilvl w:val="0"/>
          <w:numId w:val="8"/>
        </w:numPr>
        <w:spacing w:after="0" w:line="360" w:lineRule="auto"/>
        <w:jc w:val="both"/>
        <w:rPr>
          <w:rFonts w:ascii="Times New Roman" w:hAnsi="Times New Roman" w:cs="Times New Roman"/>
          <w:sz w:val="24"/>
          <w:szCs w:val="24"/>
        </w:rPr>
      </w:pPr>
      <w:r w:rsidRPr="006D0CF8">
        <w:rPr>
          <w:rFonts w:ascii="Times New Roman" w:eastAsia="Times New Roman" w:hAnsi="Times New Roman" w:cs="Times New Roman"/>
          <w:color w:val="000000"/>
          <w:sz w:val="24"/>
          <w:szCs w:val="24"/>
        </w:rPr>
        <w:t xml:space="preserve">system jest wykorzystywany w obszarach </w:t>
      </w:r>
      <w:r w:rsidRPr="006D0CF8">
        <w:rPr>
          <w:rFonts w:ascii="Times New Roman" w:hAnsi="Times New Roman" w:cs="Times New Roman"/>
          <w:sz w:val="24"/>
          <w:szCs w:val="24"/>
        </w:rPr>
        <w:t>o szczególnym znaczeniu dla realizacji zadań państwa związanych z ewidencją ludności, sprawami karnymi lub karno-skarbowymi, prawami majątkowymi obywateli, ewidencją nieruchomości, praw do nieruchom</w:t>
      </w:r>
      <w:r w:rsidR="00ED6E71">
        <w:rPr>
          <w:rFonts w:ascii="Times New Roman" w:hAnsi="Times New Roman" w:cs="Times New Roman"/>
          <w:sz w:val="24"/>
          <w:szCs w:val="24"/>
        </w:rPr>
        <w:t>ości oraz pojazdów i kierowców,</w:t>
      </w:r>
    </w:p>
    <w:p w14:paraId="44BAADFF" w14:textId="77777777" w:rsidR="006D0CF8" w:rsidRPr="006D0CF8" w:rsidRDefault="006D0CF8" w:rsidP="00011790">
      <w:pPr>
        <w:pStyle w:val="Akapitzlist"/>
        <w:numPr>
          <w:ilvl w:val="0"/>
          <w:numId w:val="8"/>
        </w:num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system teleinformatyczny zasila dany</w:t>
      </w:r>
      <w:r w:rsidR="00ED6E71">
        <w:rPr>
          <w:rFonts w:ascii="Times New Roman" w:hAnsi="Times New Roman" w:cs="Times New Roman"/>
          <w:sz w:val="24"/>
          <w:szCs w:val="24"/>
        </w:rPr>
        <w:t>mi systemy referencyjne Państwa,</w:t>
      </w:r>
    </w:p>
    <w:p w14:paraId="48B1E8F3" w14:textId="77777777" w:rsidR="006D0CF8" w:rsidRPr="006D0CF8" w:rsidRDefault="006D0CF8" w:rsidP="00011790">
      <w:pPr>
        <w:pStyle w:val="Akapitzlist"/>
        <w:numPr>
          <w:ilvl w:val="0"/>
          <w:numId w:val="8"/>
        </w:num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czy korzysta z s</w:t>
      </w:r>
      <w:r w:rsidR="00ED6E71">
        <w:rPr>
          <w:rFonts w:ascii="Times New Roman" w:hAnsi="Times New Roman" w:cs="Times New Roman"/>
          <w:sz w:val="24"/>
          <w:szCs w:val="24"/>
        </w:rPr>
        <w:t>ystemów referencyjnych państwa,</w:t>
      </w:r>
    </w:p>
    <w:p w14:paraId="6C429FE5" w14:textId="77777777" w:rsidR="006D0CF8" w:rsidRPr="006D0CF8" w:rsidRDefault="006D0CF8" w:rsidP="00011790">
      <w:pPr>
        <w:pStyle w:val="Akapitzlist"/>
        <w:numPr>
          <w:ilvl w:val="0"/>
          <w:numId w:val="8"/>
        </w:num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 xml:space="preserve">skutki prawne wpisów i danych zawartych w systemach teleinformatycznych mają wpływ na sytuację prawną (w tym prawno-majątkową) osób lub podmiotów. </w:t>
      </w:r>
    </w:p>
    <w:p w14:paraId="52FD0A6D" w14:textId="77777777" w:rsidR="006D0CF8" w:rsidRPr="006D0CF8" w:rsidRDefault="006D0CF8" w:rsidP="006D0CF8">
      <w:p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Analiza powinna zostać przeprowadzona o oparciu o analizę ryzyka</w:t>
      </w:r>
      <w:r w:rsidR="004E685E">
        <w:rPr>
          <w:rFonts w:ascii="Times New Roman" w:hAnsi="Times New Roman" w:cs="Times New Roman"/>
          <w:sz w:val="24"/>
          <w:szCs w:val="24"/>
        </w:rPr>
        <w:t>.</w:t>
      </w:r>
    </w:p>
    <w:p w14:paraId="5085E9B6" w14:textId="77777777" w:rsidR="006D0CF8" w:rsidRPr="00ED6E71" w:rsidRDefault="006D0CF8" w:rsidP="006D0CF8">
      <w:pPr>
        <w:pStyle w:val="Default"/>
        <w:spacing w:line="360" w:lineRule="auto"/>
        <w:jc w:val="both"/>
        <w:rPr>
          <w:rFonts w:ascii="Times New Roman" w:hAnsi="Times New Roman" w:cs="Times New Roman"/>
          <w:color w:val="auto"/>
        </w:rPr>
      </w:pPr>
      <w:r w:rsidRPr="00ED6E71">
        <w:rPr>
          <w:rFonts w:ascii="Times New Roman" w:hAnsi="Times New Roman" w:cs="Times New Roman"/>
        </w:rPr>
        <w:t xml:space="preserve">Kryteria do przeprowadzenia szacowania ryzyka, obejmują </w:t>
      </w:r>
      <w:r w:rsidRPr="00ED6E71">
        <w:rPr>
          <w:rFonts w:ascii="Times New Roman" w:hAnsi="Times New Roman" w:cs="Times New Roman"/>
          <w:color w:val="auto"/>
        </w:rPr>
        <w:t>co najmniej następujące atrybuty:</w:t>
      </w:r>
    </w:p>
    <w:p w14:paraId="3C63DD75" w14:textId="77777777" w:rsidR="006D0CF8" w:rsidRPr="00ED6E71" w:rsidRDefault="006D0CF8" w:rsidP="00011790">
      <w:pPr>
        <w:pStyle w:val="Default"/>
        <w:numPr>
          <w:ilvl w:val="0"/>
          <w:numId w:val="7"/>
        </w:numPr>
        <w:spacing w:line="360" w:lineRule="auto"/>
        <w:jc w:val="both"/>
        <w:rPr>
          <w:rFonts w:ascii="Times New Roman" w:hAnsi="Times New Roman" w:cs="Times New Roman"/>
          <w:color w:val="auto"/>
        </w:rPr>
      </w:pPr>
      <w:r w:rsidRPr="00ED6E71">
        <w:rPr>
          <w:rFonts w:ascii="Times New Roman" w:hAnsi="Times New Roman" w:cs="Times New Roman"/>
          <w:color w:val="auto"/>
        </w:rPr>
        <w:t>poufność informacji, w zakresie której należy przeanalizować co najmniej:</w:t>
      </w:r>
    </w:p>
    <w:p w14:paraId="5E33B262" w14:textId="77777777" w:rsidR="006D0CF8" w:rsidRPr="00ED6E71" w:rsidRDefault="006D0CF8" w:rsidP="00011790">
      <w:pPr>
        <w:pStyle w:val="Default"/>
        <w:numPr>
          <w:ilvl w:val="1"/>
          <w:numId w:val="7"/>
        </w:numPr>
        <w:spacing w:line="360" w:lineRule="auto"/>
        <w:jc w:val="both"/>
        <w:rPr>
          <w:rFonts w:ascii="Times New Roman" w:hAnsi="Times New Roman" w:cs="Times New Roman"/>
        </w:rPr>
      </w:pPr>
      <w:r w:rsidRPr="00ED6E71">
        <w:rPr>
          <w:rFonts w:ascii="Times New Roman" w:hAnsi="Times New Roman" w:cs="Times New Roman"/>
        </w:rPr>
        <w:lastRenderedPageBreak/>
        <w:t xml:space="preserve">czy naruszenie poufności (np. nieautoryzowane ujawnienie) danych będzie </w:t>
      </w:r>
      <w:r w:rsidRPr="00ED6E71">
        <w:rPr>
          <w:rFonts w:ascii="Times New Roman" w:hAnsi="Times New Roman" w:cs="Times New Roman"/>
          <w:color w:val="auto"/>
        </w:rPr>
        <w:t>uniemożliwiało</w:t>
      </w:r>
      <w:r w:rsidRPr="00ED6E71">
        <w:rPr>
          <w:rFonts w:ascii="Times New Roman" w:hAnsi="Times New Roman" w:cs="Times New Roman"/>
        </w:rPr>
        <w:t xml:space="preserve"> lub będzie powodowało istotne zagrożenie dla </w:t>
      </w:r>
      <w:r w:rsidRPr="00ED6E71">
        <w:rPr>
          <w:rFonts w:ascii="Times New Roman" w:hAnsi="Times New Roman" w:cs="Times New Roman"/>
          <w:color w:val="auto"/>
        </w:rPr>
        <w:t>realizacji szczególnych zadań państwa;</w:t>
      </w:r>
    </w:p>
    <w:p w14:paraId="004F547D" w14:textId="77777777" w:rsidR="006D0CF8" w:rsidRPr="006D0CF8" w:rsidRDefault="006D0CF8" w:rsidP="00011790">
      <w:pPr>
        <w:pStyle w:val="Default"/>
        <w:numPr>
          <w:ilvl w:val="0"/>
          <w:numId w:val="7"/>
        </w:numPr>
        <w:spacing w:line="360" w:lineRule="auto"/>
        <w:jc w:val="both"/>
        <w:rPr>
          <w:rFonts w:ascii="Times New Roman" w:hAnsi="Times New Roman" w:cs="Times New Roman"/>
          <w:color w:val="auto"/>
        </w:rPr>
      </w:pPr>
      <w:r w:rsidRPr="00ED6E71">
        <w:rPr>
          <w:rFonts w:ascii="Times New Roman" w:hAnsi="Times New Roman" w:cs="Times New Roman"/>
          <w:color w:val="auto"/>
        </w:rPr>
        <w:t>integralność informacji, w zakresie</w:t>
      </w:r>
      <w:r w:rsidRPr="006D0CF8">
        <w:rPr>
          <w:rFonts w:ascii="Times New Roman" w:hAnsi="Times New Roman" w:cs="Times New Roman"/>
          <w:color w:val="auto"/>
        </w:rPr>
        <w:t xml:space="preserve"> której należy przeanalizować co najmniej:</w:t>
      </w:r>
    </w:p>
    <w:p w14:paraId="7E68EEB0" w14:textId="77777777" w:rsidR="006D0CF8" w:rsidRPr="006D0CF8" w:rsidRDefault="006D0CF8" w:rsidP="00011790">
      <w:pPr>
        <w:pStyle w:val="Default"/>
        <w:numPr>
          <w:ilvl w:val="1"/>
          <w:numId w:val="7"/>
        </w:numPr>
        <w:spacing w:line="360" w:lineRule="auto"/>
        <w:jc w:val="both"/>
        <w:rPr>
          <w:rFonts w:ascii="Times New Roman" w:hAnsi="Times New Roman" w:cs="Times New Roman"/>
        </w:rPr>
      </w:pPr>
      <w:r w:rsidRPr="006D0CF8">
        <w:rPr>
          <w:rFonts w:ascii="Times New Roman" w:hAnsi="Times New Roman" w:cs="Times New Roman"/>
        </w:rPr>
        <w:t>czy naruszenie integralności (np. nieautoryzowane zmodyfikowanie) danych będzie uniemożliwiało lub będzie powodowało istotne zagrożenie dla realizacji szczególnych zadań państwa;</w:t>
      </w:r>
    </w:p>
    <w:p w14:paraId="1A99C762" w14:textId="77777777" w:rsidR="006D0CF8" w:rsidRPr="006D0CF8" w:rsidRDefault="006D0CF8" w:rsidP="00011790">
      <w:pPr>
        <w:pStyle w:val="Default"/>
        <w:numPr>
          <w:ilvl w:val="1"/>
          <w:numId w:val="7"/>
        </w:numPr>
        <w:spacing w:line="360" w:lineRule="auto"/>
        <w:jc w:val="both"/>
        <w:rPr>
          <w:rFonts w:ascii="Times New Roman" w:hAnsi="Times New Roman" w:cs="Times New Roman"/>
        </w:rPr>
      </w:pPr>
      <w:r w:rsidRPr="006D0CF8">
        <w:rPr>
          <w:rFonts w:ascii="Times New Roman" w:hAnsi="Times New Roman" w:cs="Times New Roman"/>
        </w:rPr>
        <w:t>czy system jest systemem referencyjnym dla innych systemów, w tym czy modyfikacja danych w systemie może spowodować / ma wpływ na dane przetwarzane w innym systemie o szczególnym znaczeniu dla realizacji zadań państwa;</w:t>
      </w:r>
    </w:p>
    <w:p w14:paraId="1882BC9E" w14:textId="77777777" w:rsidR="006D0CF8" w:rsidRPr="006D0CF8" w:rsidRDefault="006D0CF8" w:rsidP="00011790">
      <w:pPr>
        <w:pStyle w:val="Default"/>
        <w:numPr>
          <w:ilvl w:val="1"/>
          <w:numId w:val="7"/>
        </w:numPr>
        <w:spacing w:line="360" w:lineRule="auto"/>
        <w:jc w:val="both"/>
        <w:rPr>
          <w:rFonts w:ascii="Times New Roman" w:hAnsi="Times New Roman" w:cs="Times New Roman"/>
        </w:rPr>
      </w:pPr>
      <w:r w:rsidRPr="006D0CF8">
        <w:rPr>
          <w:rFonts w:ascii="Times New Roman" w:hAnsi="Times New Roman" w:cs="Times New Roman"/>
        </w:rPr>
        <w:t>czy wpis lub zmiana wpisów w systemie powoduje bezpośrednie skutki prawne;</w:t>
      </w:r>
    </w:p>
    <w:p w14:paraId="6A8AADD9" w14:textId="77777777" w:rsidR="006D0CF8" w:rsidRPr="006D0CF8" w:rsidRDefault="006D0CF8" w:rsidP="00011790">
      <w:pPr>
        <w:pStyle w:val="Default"/>
        <w:numPr>
          <w:ilvl w:val="0"/>
          <w:numId w:val="7"/>
        </w:numPr>
        <w:spacing w:line="360" w:lineRule="auto"/>
        <w:jc w:val="both"/>
        <w:rPr>
          <w:rFonts w:ascii="Times New Roman" w:hAnsi="Times New Roman" w:cs="Times New Roman"/>
          <w:color w:val="auto"/>
        </w:rPr>
      </w:pPr>
      <w:r w:rsidRPr="00ED6E71">
        <w:rPr>
          <w:rFonts w:ascii="Times New Roman" w:hAnsi="Times New Roman" w:cs="Times New Roman"/>
          <w:color w:val="auto"/>
        </w:rPr>
        <w:t>dostępność informacji,</w:t>
      </w:r>
      <w:r w:rsidRPr="006D0CF8">
        <w:rPr>
          <w:rFonts w:ascii="Times New Roman" w:hAnsi="Times New Roman" w:cs="Times New Roman"/>
          <w:color w:val="auto"/>
        </w:rPr>
        <w:t xml:space="preserve"> w zakresie której należy przeanalizować co najmniej:</w:t>
      </w:r>
    </w:p>
    <w:p w14:paraId="653C3D5D" w14:textId="77777777" w:rsidR="006D0CF8" w:rsidRPr="006D0CF8" w:rsidRDefault="006D0CF8" w:rsidP="00011790">
      <w:pPr>
        <w:pStyle w:val="Default"/>
        <w:numPr>
          <w:ilvl w:val="1"/>
          <w:numId w:val="7"/>
        </w:numPr>
        <w:spacing w:line="360" w:lineRule="auto"/>
        <w:jc w:val="both"/>
        <w:rPr>
          <w:rFonts w:ascii="Times New Roman" w:hAnsi="Times New Roman" w:cs="Times New Roman"/>
        </w:rPr>
      </w:pPr>
      <w:r w:rsidRPr="006D0CF8">
        <w:rPr>
          <w:rFonts w:ascii="Times New Roman" w:hAnsi="Times New Roman" w:cs="Times New Roman"/>
        </w:rPr>
        <w:t>czy naruszenie dostępności danych (np. brak dostępu do danych) będzie uniemożliwiało lub będzie powodowało istotne zagrożenie dla realizacji szczególnych zadań państwa;</w:t>
      </w:r>
    </w:p>
    <w:p w14:paraId="530B0954" w14:textId="77777777" w:rsidR="006D0CF8" w:rsidRPr="006D0CF8" w:rsidRDefault="006D0CF8" w:rsidP="00011790">
      <w:pPr>
        <w:pStyle w:val="Default"/>
        <w:numPr>
          <w:ilvl w:val="1"/>
          <w:numId w:val="7"/>
        </w:numPr>
        <w:spacing w:line="360" w:lineRule="auto"/>
        <w:jc w:val="both"/>
        <w:rPr>
          <w:rFonts w:ascii="Times New Roman" w:hAnsi="Times New Roman" w:cs="Times New Roman"/>
        </w:rPr>
      </w:pPr>
      <w:r w:rsidRPr="006D0CF8">
        <w:rPr>
          <w:rFonts w:ascii="Times New Roman" w:hAnsi="Times New Roman" w:cs="Times New Roman"/>
        </w:rPr>
        <w:t>czy w celu realizacji szczególnych zadań państwa system powinien funkcjonować również w przypadku braku świadczenia usług przez dostawców komercyjnych (np. w</w:t>
      </w:r>
      <w:r>
        <w:rPr>
          <w:rFonts w:ascii="Times New Roman" w:hAnsi="Times New Roman" w:cs="Times New Roman"/>
        </w:rPr>
        <w:t> </w:t>
      </w:r>
      <w:r w:rsidRPr="006D0CF8">
        <w:rPr>
          <w:rFonts w:ascii="Times New Roman" w:hAnsi="Times New Roman" w:cs="Times New Roman"/>
        </w:rPr>
        <w:t>przypadku upadłości lub zaprzestania świadczenia usług);</w:t>
      </w:r>
    </w:p>
    <w:p w14:paraId="6971AE9C" w14:textId="77777777" w:rsidR="006D0CF8" w:rsidRPr="006D0CF8" w:rsidRDefault="006D0CF8" w:rsidP="00011790">
      <w:pPr>
        <w:pStyle w:val="Default"/>
        <w:numPr>
          <w:ilvl w:val="1"/>
          <w:numId w:val="7"/>
        </w:numPr>
        <w:spacing w:line="360" w:lineRule="auto"/>
        <w:jc w:val="both"/>
        <w:rPr>
          <w:rFonts w:ascii="Times New Roman" w:hAnsi="Times New Roman" w:cs="Times New Roman"/>
        </w:rPr>
      </w:pPr>
      <w:r w:rsidRPr="006D0CF8">
        <w:rPr>
          <w:rFonts w:ascii="Times New Roman" w:hAnsi="Times New Roman" w:cs="Times New Roman"/>
        </w:rPr>
        <w:t>czy system powinien funkcjonować prawidłowo niezależnie od funkcjonowania na rynku dostawców komercyjnych;</w:t>
      </w:r>
    </w:p>
    <w:p w14:paraId="4944815F" w14:textId="77777777" w:rsidR="00E505D3" w:rsidRPr="006D0CF8" w:rsidRDefault="00065462" w:rsidP="00CE271A">
      <w:pPr>
        <w:spacing w:after="0" w:line="360" w:lineRule="auto"/>
        <w:jc w:val="both"/>
        <w:rPr>
          <w:rFonts w:ascii="Times New Roman" w:hAnsi="Times New Roman" w:cs="Times New Roman"/>
          <w:sz w:val="24"/>
          <w:szCs w:val="24"/>
        </w:rPr>
      </w:pPr>
      <w:r w:rsidRPr="006A6EEB">
        <w:rPr>
          <w:rFonts w:ascii="Times New Roman" w:hAnsi="Times New Roman"/>
          <w:sz w:val="24"/>
        </w:rPr>
        <w:t>Decyzja o</w:t>
      </w:r>
      <w:r w:rsidR="007E7317" w:rsidRPr="006A6EEB">
        <w:rPr>
          <w:rFonts w:ascii="Times New Roman" w:hAnsi="Times New Roman"/>
          <w:sz w:val="24"/>
        </w:rPr>
        <w:t xml:space="preserve"> wykorzystaniu usług </w:t>
      </w:r>
      <w:r w:rsidRPr="006A6EEB">
        <w:rPr>
          <w:rFonts w:ascii="Times New Roman" w:hAnsi="Times New Roman"/>
          <w:sz w:val="24"/>
        </w:rPr>
        <w:t>chmur</w:t>
      </w:r>
      <w:r w:rsidR="007E7317" w:rsidRPr="006A6EEB">
        <w:rPr>
          <w:rFonts w:ascii="Times New Roman" w:hAnsi="Times New Roman"/>
          <w:sz w:val="24"/>
        </w:rPr>
        <w:t>y</w:t>
      </w:r>
      <w:r w:rsidRPr="006A6EEB">
        <w:rPr>
          <w:rFonts w:ascii="Times New Roman" w:hAnsi="Times New Roman"/>
          <w:sz w:val="24"/>
        </w:rPr>
        <w:t xml:space="preserve"> obliczeniowej </w:t>
      </w:r>
      <w:r w:rsidR="007E7317" w:rsidRPr="006A6EEB">
        <w:rPr>
          <w:rFonts w:ascii="Times New Roman" w:hAnsi="Times New Roman"/>
          <w:sz w:val="24"/>
        </w:rPr>
        <w:t xml:space="preserve">wskazanej w wyniku klasyfikacji </w:t>
      </w:r>
      <w:r w:rsidRPr="006A6EEB">
        <w:rPr>
          <w:rFonts w:ascii="Times New Roman" w:hAnsi="Times New Roman"/>
          <w:sz w:val="24"/>
        </w:rPr>
        <w:t xml:space="preserve">należy do właściciela </w:t>
      </w:r>
      <w:r w:rsidR="007E7317" w:rsidRPr="006A6EEB">
        <w:rPr>
          <w:rFonts w:ascii="Times New Roman" w:hAnsi="Times New Roman"/>
          <w:sz w:val="24"/>
        </w:rPr>
        <w:t>klasyfikowanego systemu teleinformatycznego.</w:t>
      </w:r>
      <w:r w:rsidR="00E505D3" w:rsidRPr="006D0CF8">
        <w:rPr>
          <w:rFonts w:ascii="Times New Roman" w:hAnsi="Times New Roman" w:cs="Times New Roman"/>
          <w:sz w:val="24"/>
          <w:szCs w:val="24"/>
        </w:rPr>
        <w:br w:type="page"/>
      </w:r>
    </w:p>
    <w:p w14:paraId="6423E629" w14:textId="77777777" w:rsidR="006D366F" w:rsidRPr="00AE71F5" w:rsidRDefault="006D366F" w:rsidP="00AE71F5">
      <w:pPr>
        <w:spacing w:after="0" w:line="360" w:lineRule="auto"/>
        <w:rPr>
          <w:rFonts w:ascii="Times New Roman" w:hAnsi="Times New Roman" w:cs="Times New Roman"/>
          <w:sz w:val="24"/>
          <w:szCs w:val="24"/>
        </w:rPr>
      </w:pPr>
    </w:p>
    <w:p w14:paraId="5041AC21" w14:textId="77777777" w:rsidR="00CA2277" w:rsidRPr="00AE71F5" w:rsidRDefault="00CA2277" w:rsidP="00AE71F5">
      <w:pPr>
        <w:spacing w:after="0" w:line="360" w:lineRule="auto"/>
        <w:jc w:val="center"/>
        <w:rPr>
          <w:rFonts w:ascii="Times New Roman" w:eastAsia="Times New Roman" w:hAnsi="Times New Roman" w:cs="Times New Roman"/>
          <w:b/>
          <w:sz w:val="24"/>
          <w:szCs w:val="24"/>
        </w:rPr>
      </w:pPr>
      <w:r w:rsidRPr="00AE71F5">
        <w:rPr>
          <w:rFonts w:ascii="Times New Roman" w:eastAsia="Times New Roman" w:hAnsi="Times New Roman" w:cs="Times New Roman"/>
          <w:b/>
          <w:sz w:val="24"/>
          <w:szCs w:val="24"/>
        </w:rPr>
        <w:t>UZASADNIENIE</w:t>
      </w:r>
    </w:p>
    <w:p w14:paraId="027543C9" w14:textId="77777777" w:rsidR="00CA2277" w:rsidRPr="00AE71F5" w:rsidRDefault="00CA2277" w:rsidP="00AE71F5">
      <w:pPr>
        <w:spacing w:after="0" w:line="360" w:lineRule="auto"/>
        <w:jc w:val="center"/>
        <w:rPr>
          <w:rFonts w:ascii="Times New Roman" w:eastAsia="Times New Roman" w:hAnsi="Times New Roman" w:cs="Times New Roman"/>
          <w:color w:val="000000"/>
          <w:sz w:val="24"/>
          <w:szCs w:val="24"/>
        </w:rPr>
      </w:pPr>
    </w:p>
    <w:p w14:paraId="67B628AB" w14:textId="77777777" w:rsidR="00D07553" w:rsidRPr="00AE71F5" w:rsidRDefault="00D07553" w:rsidP="00D07553">
      <w:pPr>
        <w:spacing w:after="0" w:line="360" w:lineRule="auto"/>
        <w:jc w:val="center"/>
        <w:rPr>
          <w:rFonts w:ascii="Times New Roman" w:eastAsia="Times New Roman" w:hAnsi="Times New Roman" w:cs="Times New Roman"/>
          <w:color w:val="000000"/>
          <w:sz w:val="24"/>
          <w:szCs w:val="24"/>
        </w:rPr>
      </w:pPr>
    </w:p>
    <w:p w14:paraId="5243203C" w14:textId="77777777" w:rsidR="00D07553" w:rsidRDefault="00D07553" w:rsidP="00D07553">
      <w:pPr>
        <w:autoSpaceDE w:val="0"/>
        <w:autoSpaceDN w:val="0"/>
        <w:adjustRightInd w:val="0"/>
        <w:spacing w:after="120" w:line="360" w:lineRule="auto"/>
        <w:jc w:val="both"/>
        <w:rPr>
          <w:rFonts w:ascii="Times New Roman" w:hAnsi="Times New Roman" w:cs="Times New Roman"/>
          <w:sz w:val="24"/>
          <w:szCs w:val="24"/>
        </w:rPr>
      </w:pPr>
      <w:r w:rsidRPr="00AE71F5">
        <w:rPr>
          <w:rFonts w:ascii="Times New Roman" w:eastAsia="Times New Roman" w:hAnsi="Times New Roman" w:cs="Times New Roman"/>
          <w:color w:val="000000"/>
          <w:sz w:val="24"/>
          <w:szCs w:val="24"/>
        </w:rPr>
        <w:t xml:space="preserve">Celem projektowanej uchwały </w:t>
      </w:r>
      <w:r>
        <w:rPr>
          <w:rFonts w:ascii="Times New Roman" w:eastAsia="Times New Roman" w:hAnsi="Times New Roman" w:cs="Times New Roman"/>
          <w:color w:val="000000"/>
          <w:sz w:val="24"/>
          <w:szCs w:val="24"/>
        </w:rPr>
        <w:t>jest wdrożenie</w:t>
      </w:r>
      <w:r w:rsidRPr="00AE71F5">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Inicjatywy</w:t>
      </w:r>
      <w:r w:rsidRPr="00217893">
        <w:rPr>
          <w:rFonts w:ascii="Times New Roman" w:hAnsi="Times New Roman" w:cs="Times New Roman"/>
          <w:sz w:val="24"/>
          <w:szCs w:val="24"/>
        </w:rPr>
        <w:t xml:space="preserve"> „Wspólna Infrastruktura Informatyczna Państwa”, </w:t>
      </w:r>
      <w:r>
        <w:rPr>
          <w:rFonts w:ascii="Times New Roman" w:hAnsi="Times New Roman" w:cs="Times New Roman"/>
          <w:sz w:val="24"/>
          <w:szCs w:val="24"/>
        </w:rPr>
        <w:t>która obejmuje</w:t>
      </w:r>
      <w:r w:rsidRPr="00217893">
        <w:rPr>
          <w:rFonts w:ascii="Times New Roman" w:hAnsi="Times New Roman" w:cs="Times New Roman"/>
          <w:sz w:val="24"/>
          <w:szCs w:val="24"/>
        </w:rPr>
        <w:t>:</w:t>
      </w:r>
    </w:p>
    <w:p w14:paraId="74386ECB" w14:textId="77777777" w:rsidR="00D07553" w:rsidRPr="004D13C4" w:rsidRDefault="00D07553" w:rsidP="00011790">
      <w:pPr>
        <w:pStyle w:val="Akapitzlist"/>
        <w:numPr>
          <w:ilvl w:val="0"/>
          <w:numId w:val="21"/>
        </w:numPr>
        <w:autoSpaceDE w:val="0"/>
        <w:autoSpaceDN w:val="0"/>
        <w:adjustRightInd w:val="0"/>
        <w:spacing w:after="120" w:line="360" w:lineRule="auto"/>
        <w:jc w:val="both"/>
        <w:rPr>
          <w:rFonts w:ascii="Times New Roman" w:hAnsi="Times New Roman" w:cs="Times New Roman"/>
          <w:sz w:val="24"/>
          <w:szCs w:val="24"/>
        </w:rPr>
      </w:pPr>
      <w:r w:rsidRPr="005930FA">
        <w:rPr>
          <w:rFonts w:ascii="Times New Roman" w:hAnsi="Times New Roman" w:cs="Times New Roman"/>
          <w:sz w:val="24"/>
          <w:szCs w:val="24"/>
        </w:rPr>
        <w:t xml:space="preserve">budowę, rozwój i </w:t>
      </w:r>
      <w:r w:rsidRPr="004D13C4">
        <w:rPr>
          <w:rFonts w:ascii="Times New Roman" w:hAnsi="Times New Roman" w:cs="Times New Roman"/>
          <w:sz w:val="24"/>
          <w:szCs w:val="24"/>
        </w:rPr>
        <w:t xml:space="preserve">utrzymanie </w:t>
      </w:r>
      <w:r w:rsidRPr="004D13C4">
        <w:rPr>
          <w:rFonts w:ascii="Times New Roman" w:hAnsi="Times New Roman" w:cs="Times New Roman"/>
          <w:bCs/>
          <w:sz w:val="24"/>
          <w:szCs w:val="24"/>
        </w:rPr>
        <w:t>prywatnej chmury obliczeniowej administracji publicznej</w:t>
      </w:r>
      <w:r>
        <w:rPr>
          <w:rFonts w:ascii="Times New Roman" w:hAnsi="Times New Roman" w:cs="Times New Roman"/>
          <w:bCs/>
          <w:sz w:val="24"/>
          <w:szCs w:val="24"/>
        </w:rPr>
        <w:t xml:space="preserve"> (Rządowej</w:t>
      </w:r>
      <w:r w:rsidRPr="004D13C4">
        <w:rPr>
          <w:rFonts w:ascii="Times New Roman" w:hAnsi="Times New Roman" w:cs="Times New Roman"/>
          <w:bCs/>
          <w:sz w:val="24"/>
          <w:szCs w:val="24"/>
        </w:rPr>
        <w:t xml:space="preserve"> </w:t>
      </w:r>
      <w:r>
        <w:rPr>
          <w:rFonts w:ascii="Times New Roman" w:hAnsi="Times New Roman" w:cs="Times New Roman"/>
          <w:bCs/>
          <w:sz w:val="24"/>
          <w:szCs w:val="24"/>
        </w:rPr>
        <w:t>Chmury</w:t>
      </w:r>
      <w:r w:rsidRPr="004D13C4">
        <w:rPr>
          <w:rFonts w:ascii="Times New Roman" w:hAnsi="Times New Roman" w:cs="Times New Roman"/>
          <w:bCs/>
          <w:sz w:val="24"/>
          <w:szCs w:val="24"/>
        </w:rPr>
        <w:t xml:space="preserve"> Obliczeniow</w:t>
      </w:r>
      <w:r>
        <w:rPr>
          <w:rFonts w:ascii="Times New Roman" w:hAnsi="Times New Roman" w:cs="Times New Roman"/>
          <w:bCs/>
          <w:sz w:val="24"/>
          <w:szCs w:val="24"/>
        </w:rPr>
        <w:t>ej);</w:t>
      </w:r>
    </w:p>
    <w:p w14:paraId="33FF4926" w14:textId="77777777" w:rsidR="00D07553" w:rsidRPr="004D13C4" w:rsidRDefault="00D07553" w:rsidP="00011790">
      <w:pPr>
        <w:pStyle w:val="Akapitzlist"/>
        <w:numPr>
          <w:ilvl w:val="0"/>
          <w:numId w:val="21"/>
        </w:numPr>
        <w:autoSpaceDE w:val="0"/>
        <w:autoSpaceDN w:val="0"/>
        <w:adjustRightInd w:val="0"/>
        <w:spacing w:after="120" w:line="360" w:lineRule="auto"/>
        <w:jc w:val="both"/>
        <w:rPr>
          <w:rFonts w:ascii="Times New Roman" w:hAnsi="Times New Roman" w:cs="Times New Roman"/>
          <w:bCs/>
          <w:sz w:val="24"/>
          <w:szCs w:val="24"/>
        </w:rPr>
      </w:pPr>
      <w:r w:rsidRPr="004D13C4">
        <w:rPr>
          <w:rFonts w:ascii="Times New Roman" w:hAnsi="Times New Roman" w:cs="Times New Roman"/>
          <w:sz w:val="24"/>
          <w:szCs w:val="24"/>
        </w:rPr>
        <w:t>budowę, rozwój i utrzymanie</w:t>
      </w:r>
      <w:r w:rsidRPr="004D13C4">
        <w:rPr>
          <w:rFonts w:ascii="Times New Roman" w:hAnsi="Times New Roman" w:cs="Times New Roman"/>
          <w:bCs/>
          <w:sz w:val="24"/>
          <w:szCs w:val="24"/>
        </w:rPr>
        <w:t xml:space="preserve"> Rządowego Klastra Bez</w:t>
      </w:r>
      <w:r>
        <w:rPr>
          <w:rFonts w:ascii="Times New Roman" w:hAnsi="Times New Roman" w:cs="Times New Roman"/>
          <w:bCs/>
          <w:sz w:val="24"/>
          <w:szCs w:val="24"/>
        </w:rPr>
        <w:t>pieczeństwa</w:t>
      </w:r>
      <w:r w:rsidRPr="004D13C4">
        <w:rPr>
          <w:rFonts w:ascii="Times New Roman" w:hAnsi="Times New Roman" w:cs="Times New Roman"/>
          <w:bCs/>
          <w:sz w:val="24"/>
          <w:szCs w:val="24"/>
        </w:rPr>
        <w:t>;</w:t>
      </w:r>
    </w:p>
    <w:p w14:paraId="63A603C1" w14:textId="77777777" w:rsidR="00D07553" w:rsidRDefault="00D07553" w:rsidP="00011790">
      <w:pPr>
        <w:pStyle w:val="Akapitzlist"/>
        <w:numPr>
          <w:ilvl w:val="0"/>
          <w:numId w:val="21"/>
        </w:numPr>
        <w:autoSpaceDE w:val="0"/>
        <w:autoSpaceDN w:val="0"/>
        <w:adjustRightInd w:val="0"/>
        <w:spacing w:after="120" w:line="360" w:lineRule="auto"/>
        <w:jc w:val="both"/>
        <w:rPr>
          <w:rFonts w:ascii="Times New Roman" w:hAnsi="Times New Roman" w:cs="Times New Roman"/>
          <w:bCs/>
          <w:sz w:val="24"/>
          <w:szCs w:val="24"/>
        </w:rPr>
      </w:pPr>
      <w:r w:rsidRPr="004D13C4">
        <w:rPr>
          <w:rFonts w:ascii="Times New Roman" w:hAnsi="Times New Roman" w:cs="Times New Roman"/>
          <w:bCs/>
          <w:sz w:val="24"/>
          <w:szCs w:val="24"/>
        </w:rPr>
        <w:t xml:space="preserve">zapewnienie podmiotom administracji publicznej możliwości nabywania usług przetwarzania w publicznych chmurach obliczeniowych od wykonawców </w:t>
      </w:r>
      <w:r w:rsidRPr="005930FA">
        <w:rPr>
          <w:rFonts w:ascii="Times New Roman" w:hAnsi="Times New Roman" w:cs="Times New Roman"/>
          <w:bCs/>
          <w:sz w:val="24"/>
          <w:szCs w:val="24"/>
        </w:rPr>
        <w:t>wybranych przez centralnego zamawiającego</w:t>
      </w:r>
      <w:r>
        <w:rPr>
          <w:rFonts w:ascii="Times New Roman" w:hAnsi="Times New Roman" w:cs="Times New Roman"/>
          <w:bCs/>
          <w:sz w:val="24"/>
          <w:szCs w:val="24"/>
        </w:rPr>
        <w:t xml:space="preserve"> lub w zamówieniu wspólnym;</w:t>
      </w:r>
    </w:p>
    <w:p w14:paraId="72EAF1DB" w14:textId="77777777" w:rsidR="00D07553" w:rsidRPr="00ED0C91" w:rsidRDefault="00D07553" w:rsidP="00011790">
      <w:pPr>
        <w:pStyle w:val="Akapitzlist"/>
        <w:numPr>
          <w:ilvl w:val="0"/>
          <w:numId w:val="21"/>
        </w:numPr>
        <w:spacing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zapewnienie funkcjonowania</w:t>
      </w:r>
      <w:r w:rsidRPr="00824045">
        <w:rPr>
          <w:rFonts w:ascii="Times New Roman" w:hAnsi="Times New Roman" w:cs="Times New Roman"/>
          <w:color w:val="000000"/>
          <w:sz w:val="24"/>
          <w:szCs w:val="24"/>
        </w:rPr>
        <w:t xml:space="preserve"> systemu teleinformatycznego wspomagającego zarządzanie usługami przetwarzania w Rządowej Chmurze Obliczeniowej i w publicznych chmurach obliczeniowych, zwanego dalej „Systemem Zapewnienia Usług Chmurowych</w:t>
      </w:r>
      <w:r>
        <w:rPr>
          <w:rFonts w:ascii="Times New Roman" w:hAnsi="Times New Roman" w:cs="Times New Roman"/>
          <w:color w:val="000000"/>
          <w:sz w:val="24"/>
          <w:szCs w:val="24"/>
        </w:rPr>
        <w:t>”</w:t>
      </w:r>
      <w:r>
        <w:rPr>
          <w:rFonts w:ascii="Times New Roman" w:hAnsi="Times New Roman" w:cs="Times New Roman"/>
          <w:bCs/>
          <w:sz w:val="24"/>
          <w:szCs w:val="24"/>
        </w:rPr>
        <w:t>;</w:t>
      </w:r>
    </w:p>
    <w:p w14:paraId="3A4D4A3B" w14:textId="77777777" w:rsidR="00D07553" w:rsidRPr="00ED0C91" w:rsidRDefault="00D07553" w:rsidP="00011790">
      <w:pPr>
        <w:pStyle w:val="Akapitzlist"/>
        <w:numPr>
          <w:ilvl w:val="0"/>
          <w:numId w:val="21"/>
        </w:numPr>
        <w:spacing w:after="120" w:line="360" w:lineRule="auto"/>
        <w:jc w:val="both"/>
        <w:rPr>
          <w:rFonts w:ascii="Times New Roman" w:hAnsi="Times New Roman" w:cs="Times New Roman"/>
          <w:color w:val="000000"/>
          <w:sz w:val="24"/>
          <w:szCs w:val="24"/>
        </w:rPr>
      </w:pPr>
      <w:r>
        <w:rPr>
          <w:rFonts w:ascii="Times New Roman" w:hAnsi="Times New Roman" w:cs="Times New Roman"/>
          <w:bCs/>
          <w:sz w:val="24"/>
          <w:szCs w:val="24"/>
        </w:rPr>
        <w:t xml:space="preserve">określenie przez ministra właściwego do spraw informatyzacji </w:t>
      </w:r>
      <w:r w:rsidRPr="006C5B8C">
        <w:rPr>
          <w:rFonts w:ascii="Times New Roman" w:hAnsi="Times New Roman" w:cs="Times New Roman"/>
          <w:sz w:val="24"/>
          <w:szCs w:val="24"/>
        </w:rPr>
        <w:t>Katalog</w:t>
      </w:r>
      <w:r>
        <w:rPr>
          <w:rFonts w:ascii="Times New Roman" w:hAnsi="Times New Roman" w:cs="Times New Roman"/>
          <w:sz w:val="24"/>
          <w:szCs w:val="24"/>
        </w:rPr>
        <w:t>u</w:t>
      </w:r>
      <w:r w:rsidRPr="006C5B8C">
        <w:rPr>
          <w:rFonts w:ascii="Times New Roman" w:hAnsi="Times New Roman" w:cs="Times New Roman"/>
          <w:sz w:val="24"/>
          <w:szCs w:val="24"/>
        </w:rPr>
        <w:t xml:space="preserve"> Wymagań B</w:t>
      </w:r>
      <w:r w:rsidRPr="004410E5">
        <w:rPr>
          <w:rFonts w:ascii="Times New Roman" w:hAnsi="Times New Roman" w:cs="Times New Roman"/>
          <w:sz w:val="24"/>
          <w:szCs w:val="24"/>
        </w:rPr>
        <w:t xml:space="preserve">ezpieczeństwa Systemów </w:t>
      </w:r>
      <w:r w:rsidRPr="006C5B8C">
        <w:rPr>
          <w:rFonts w:ascii="Times New Roman" w:hAnsi="Times New Roman" w:cs="Times New Roman"/>
          <w:sz w:val="24"/>
          <w:szCs w:val="24"/>
        </w:rPr>
        <w:t>Teleinformatycznych</w:t>
      </w:r>
      <w:r>
        <w:rPr>
          <w:rFonts w:ascii="Times New Roman" w:hAnsi="Times New Roman" w:cs="Times New Roman"/>
          <w:sz w:val="24"/>
          <w:szCs w:val="24"/>
        </w:rPr>
        <w:t>.</w:t>
      </w:r>
    </w:p>
    <w:p w14:paraId="42259406"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Inicjatywa WIIP jest odpowiedzią na decyzję Prezesa Rady Ministrów o pilnej realizacji Rządowego Klastra Bezpieczeństwa. W toku prac analitycznych zdecydowano o</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zmianie pierwotnej koncepcji i przyjęciu podejścia bardziej efektywnego kosztowo, tj. ponosząc koszty inicjalne, które pozwolą na szybsze udostępnienie środowisk i usług dla odbiorców niż gdyby poszczególne jednostki zaspokajały zapotrzebowanie na infrastrukturę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usługi indywidualnie. </w:t>
      </w:r>
    </w:p>
    <w:p w14:paraId="36AC74CF"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Podjęcie niniejszej uchwały jest również konsekwencją ustaleń Komitetu Ekonomicznego Rady Ministrów z dnia 25 września 2018 roku, kiedy to Komitet udzielił pozytywnej rekomendacji dla założeń inicjatywy. </w:t>
      </w:r>
    </w:p>
    <w:p w14:paraId="1109FFBF"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 oparciu o dane gromadzone w ramach inwentaryzacji w Systemie Inwentaryzacji Systemów Teleinformatycznych rozpoznano zakres obejmujący wspólne dla większości podmiotów administracji rządowej problemy. Typowa infrastruktura IT urzędu:</w:t>
      </w:r>
    </w:p>
    <w:p w14:paraId="47A4EDFF"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składa się z niewielkiej liczby </w:t>
      </w:r>
      <w:r>
        <w:rPr>
          <w:rFonts w:ascii="Times New Roman" w:eastAsia="Times New Roman" w:hAnsi="Times New Roman" w:cs="Times New Roman"/>
          <w:color w:val="000000"/>
          <w:sz w:val="24"/>
          <w:szCs w:val="24"/>
        </w:rPr>
        <w:t>serwerów i urządzeń pamięci masowych</w:t>
      </w:r>
      <w:r w:rsidRPr="00AE71F5">
        <w:rPr>
          <w:rFonts w:ascii="Times New Roman" w:eastAsia="Times New Roman" w:hAnsi="Times New Roman" w:cs="Times New Roman"/>
          <w:color w:val="000000"/>
          <w:sz w:val="24"/>
          <w:szCs w:val="24"/>
        </w:rPr>
        <w:t>, zwykle o  niedostatecznym poziomie zabezpieczeń,</w:t>
      </w:r>
    </w:p>
    <w:p w14:paraId="1D4B1E8A"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nie posiada serwerowni zapasowej, </w:t>
      </w:r>
    </w:p>
    <w:p w14:paraId="65DF51DF"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generuje koszty utrzymania związane z zapewnieniem własnego łącza do Internetu, ochrony ruchu sieciowego, systemów zarządzania, zabezpieczenia danych, podtrzymania zasilania, chłodzenia.</w:t>
      </w:r>
    </w:p>
    <w:p w14:paraId="4354CBA0"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Analogiczną diagnozę przeprowadzono w oparciu o dane dotyczące typowych projektów IT finansowanych z funduszy europejskich, również w oparciu o dane dotyczące projektów realizowanych w minionej perspektywie finansowej. Wynikiem pracy były następujące wnioski: </w:t>
      </w:r>
    </w:p>
    <w:p w14:paraId="27149D62"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duże zakupy infrastruktury realizowane były głównie przy okazji realizacji projektu: serwery, macierze, wyposażenie serwerowni, łącza, elementy bezpieczeństwa,</w:t>
      </w:r>
    </w:p>
    <w:p w14:paraId="5CE66D6D"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moc i pojemność infrastruktury zaplanowano pod obciążenie prognozowane na końcu okresu trwałości, co podnosiło inicjalny koszt inwestycji,</w:t>
      </w:r>
    </w:p>
    <w:p w14:paraId="0F00CA9D"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zakup infrastruktury realizowany był jako pierwszy, rozpoczynając bieg okresu amortyzacji sprzętu przed jego faktycznym wykorzystaniem.</w:t>
      </w:r>
    </w:p>
    <w:p w14:paraId="2C699E9C"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Mając na uwadze powyższe zagadnienia realizacja Inicjatywy WIIP stanowi odpowiedź na potrzeby administracji rządowej, poprzez eliminację lub znaczne zmniejszenie obciążeń związanych z aspektami technicznymi na rzecz uwolnienia zasobów kadrowych do realizacji celów merytorycznych.  </w:t>
      </w:r>
    </w:p>
    <w:p w14:paraId="6AF69BA3"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Główne korzyści dla państwa to:</w:t>
      </w:r>
    </w:p>
    <w:p w14:paraId="11BDBBAC"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poprawa bezpieczeństwa przetwarzania danych i świadczenia usług elektronicznych w administracji rządowej,</w:t>
      </w:r>
    </w:p>
    <w:p w14:paraId="36D567E9"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trwałe obniżenie kosztów stałych przetwarzania danych – w długiej perspektywie o ponad 1 mld zł rocznie,</w:t>
      </w:r>
    </w:p>
    <w:p w14:paraId="340038DA" w14:textId="77777777" w:rsidR="00D07553" w:rsidRPr="00AE71F5"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podniesienie efektywności wydatkowania środków w projektach zawierających elementy infrastruktury IT – poprawa sięgająca 50%,</w:t>
      </w:r>
    </w:p>
    <w:p w14:paraId="0791C98F" w14:textId="77777777" w:rsidR="00D07553"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skrócenie czasu realizacji nowych przedsięwzięć informatycznych przez szybsze udostępnianie wymaganej infrastruktury IT – realizacja pilnych potrzeb w terminach 1-2 tygodni, zamiast wielu miesięcy,</w:t>
      </w:r>
    </w:p>
    <w:p w14:paraId="7EEE1590" w14:textId="77777777" w:rsidR="00D07553" w:rsidRPr="00222B38" w:rsidRDefault="00D07553" w:rsidP="00011790">
      <w:pPr>
        <w:numPr>
          <w:ilvl w:val="0"/>
          <w:numId w:val="6"/>
        </w:numPr>
        <w:spacing w:after="120" w:line="360" w:lineRule="auto"/>
        <w:jc w:val="both"/>
        <w:rPr>
          <w:rFonts w:ascii="Times New Roman" w:eastAsia="Times New Roman" w:hAnsi="Times New Roman" w:cs="Times New Roman"/>
          <w:color w:val="000000"/>
          <w:sz w:val="24"/>
          <w:szCs w:val="24"/>
        </w:rPr>
      </w:pPr>
      <w:r w:rsidRPr="00222B38">
        <w:rPr>
          <w:rFonts w:ascii="Times New Roman" w:eastAsia="Times New Roman" w:hAnsi="Times New Roman" w:cs="Times New Roman"/>
          <w:color w:val="000000"/>
          <w:sz w:val="24"/>
          <w:szCs w:val="24"/>
        </w:rPr>
        <w:t>zniesieni</w:t>
      </w:r>
      <w:r>
        <w:rPr>
          <w:rFonts w:ascii="Times New Roman" w:eastAsia="Times New Roman" w:hAnsi="Times New Roman" w:cs="Times New Roman"/>
          <w:color w:val="000000"/>
          <w:sz w:val="24"/>
          <w:szCs w:val="24"/>
        </w:rPr>
        <w:t>e</w:t>
      </w:r>
      <w:r w:rsidRPr="00222B38">
        <w:rPr>
          <w:rFonts w:ascii="Times New Roman" w:eastAsia="Times New Roman" w:hAnsi="Times New Roman" w:cs="Times New Roman"/>
          <w:color w:val="000000"/>
          <w:sz w:val="24"/>
          <w:szCs w:val="24"/>
        </w:rPr>
        <w:t xml:space="preserve"> części barier technicznych dla interoperacyjności systemów działających w oparciu o usługi chmury obliczeniowej. </w:t>
      </w:r>
    </w:p>
    <w:p w14:paraId="0EBE325F"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 xml:space="preserve">Wprowadzone zostają pojęcia Rządowej Chmury </w:t>
      </w:r>
      <w:r>
        <w:rPr>
          <w:rFonts w:ascii="Times New Roman" w:eastAsia="Times New Roman" w:hAnsi="Times New Roman" w:cs="Times New Roman"/>
          <w:color w:val="000000"/>
          <w:sz w:val="24"/>
          <w:szCs w:val="24"/>
        </w:rPr>
        <w:t>Obliczeniowej, publicznej chmury obliczeniowej,</w:t>
      </w:r>
      <w:r w:rsidRPr="00AE71F5">
        <w:rPr>
          <w:rFonts w:ascii="Times New Roman" w:eastAsia="Times New Roman" w:hAnsi="Times New Roman" w:cs="Times New Roman"/>
          <w:color w:val="000000"/>
          <w:sz w:val="24"/>
          <w:szCs w:val="24"/>
        </w:rPr>
        <w:t xml:space="preserve"> operatora Rządowej Chmury Obliczeniowej, Rządowego Klastra Bezpi</w:t>
      </w:r>
      <w:r>
        <w:rPr>
          <w:rFonts w:ascii="Times New Roman" w:eastAsia="Times New Roman" w:hAnsi="Times New Roman" w:cs="Times New Roman"/>
          <w:color w:val="000000"/>
          <w:sz w:val="24"/>
          <w:szCs w:val="24"/>
        </w:rPr>
        <w:t>eczeństwa (RKB), operatora RKB</w:t>
      </w:r>
      <w:r w:rsidRPr="00AE71F5">
        <w:rPr>
          <w:rFonts w:ascii="Times New Roman" w:eastAsia="Times New Roman" w:hAnsi="Times New Roman" w:cs="Times New Roman"/>
          <w:color w:val="000000"/>
          <w:sz w:val="24"/>
          <w:szCs w:val="24"/>
        </w:rPr>
        <w:t>, jak również zapewnienie podmiotom administracji publicznej możliwości nabywania usług przetwarzania w publicznych chmurach obliczeniowych od wykonawców wybranych przez centralnego zamawiającego</w:t>
      </w:r>
      <w:r>
        <w:rPr>
          <w:rFonts w:ascii="Times New Roman" w:eastAsia="Times New Roman" w:hAnsi="Times New Roman" w:cs="Times New Roman"/>
          <w:color w:val="000000"/>
          <w:sz w:val="24"/>
          <w:szCs w:val="24"/>
        </w:rPr>
        <w:t xml:space="preserve"> lub w zamówieniu wspólnym</w:t>
      </w:r>
      <w:r w:rsidRPr="00AE71F5">
        <w:rPr>
          <w:rFonts w:ascii="Times New Roman" w:eastAsia="Times New Roman" w:hAnsi="Times New Roman" w:cs="Times New Roman"/>
          <w:color w:val="000000"/>
          <w:sz w:val="24"/>
          <w:szCs w:val="24"/>
        </w:rPr>
        <w:t>.</w:t>
      </w:r>
    </w:p>
    <w:p w14:paraId="319F2022" w14:textId="77777777" w:rsidR="00D07553" w:rsidRDefault="00D07553" w:rsidP="00D07553">
      <w:pPr>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Pr="00AE71F5">
        <w:rPr>
          <w:rFonts w:ascii="Times New Roman" w:eastAsia="Times New Roman" w:hAnsi="Times New Roman" w:cs="Times New Roman"/>
          <w:color w:val="000000"/>
          <w:sz w:val="24"/>
          <w:szCs w:val="24"/>
        </w:rPr>
        <w:t xml:space="preserve">ządowa </w:t>
      </w:r>
      <w:r>
        <w:rPr>
          <w:rFonts w:ascii="Times New Roman" w:eastAsia="Times New Roman" w:hAnsi="Times New Roman" w:cs="Times New Roman"/>
          <w:color w:val="000000"/>
          <w:sz w:val="24"/>
          <w:szCs w:val="24"/>
        </w:rPr>
        <w:t xml:space="preserve">Chmura Obliczeniowa obejmuje usługi typu IaaS, </w:t>
      </w:r>
      <w:r w:rsidRPr="00AE71F5">
        <w:rPr>
          <w:rFonts w:ascii="Times New Roman" w:eastAsia="Times New Roman" w:hAnsi="Times New Roman" w:cs="Times New Roman"/>
          <w:color w:val="000000"/>
          <w:sz w:val="24"/>
          <w:szCs w:val="24"/>
        </w:rPr>
        <w:t xml:space="preserve">PaaS </w:t>
      </w:r>
      <w:r>
        <w:rPr>
          <w:rFonts w:ascii="Times New Roman" w:eastAsia="Times New Roman" w:hAnsi="Times New Roman" w:cs="Times New Roman"/>
          <w:color w:val="000000"/>
          <w:sz w:val="24"/>
          <w:szCs w:val="24"/>
        </w:rPr>
        <w:t xml:space="preserve">oraz SaaS </w:t>
      </w:r>
      <w:r w:rsidRPr="00AE71F5">
        <w:rPr>
          <w:rFonts w:ascii="Times New Roman" w:eastAsia="Times New Roman" w:hAnsi="Times New Roman" w:cs="Times New Roman"/>
          <w:color w:val="000000"/>
          <w:sz w:val="24"/>
          <w:szCs w:val="24"/>
        </w:rPr>
        <w:t>ujęte w katalogu</w:t>
      </w:r>
      <w:r>
        <w:rPr>
          <w:rFonts w:ascii="Times New Roman" w:eastAsia="Times New Roman" w:hAnsi="Times New Roman" w:cs="Times New Roman"/>
          <w:color w:val="000000"/>
          <w:sz w:val="24"/>
          <w:szCs w:val="24"/>
        </w:rPr>
        <w:t>,</w:t>
      </w:r>
      <w:r w:rsidRPr="00AE71F5">
        <w:rPr>
          <w:rFonts w:ascii="Times New Roman" w:eastAsia="Times New Roman" w:hAnsi="Times New Roman" w:cs="Times New Roman"/>
          <w:color w:val="000000"/>
          <w:sz w:val="24"/>
          <w:szCs w:val="24"/>
        </w:rPr>
        <w:t xml:space="preserve"> świadczone na rzecz podmiotów administracji p</w:t>
      </w:r>
      <w:r>
        <w:rPr>
          <w:rFonts w:ascii="Times New Roman" w:eastAsia="Times New Roman" w:hAnsi="Times New Roman" w:cs="Times New Roman"/>
          <w:color w:val="000000"/>
          <w:sz w:val="24"/>
          <w:szCs w:val="24"/>
        </w:rPr>
        <w:t>ublicznej</w:t>
      </w:r>
      <w:r w:rsidRPr="00AE71F5">
        <w:rPr>
          <w:rFonts w:ascii="Times New Roman" w:eastAsia="Times New Roman" w:hAnsi="Times New Roman" w:cs="Times New Roman"/>
          <w:color w:val="000000"/>
          <w:sz w:val="24"/>
          <w:szCs w:val="24"/>
        </w:rPr>
        <w:t>. Systemy teleinformatyczne, które powinny znaleźć się w Rządowej Chmurze Obliczeniowej</w:t>
      </w:r>
      <w:r>
        <w:rPr>
          <w:rFonts w:ascii="Times New Roman" w:eastAsia="Times New Roman" w:hAnsi="Times New Roman" w:cs="Times New Roman"/>
          <w:color w:val="000000"/>
          <w:sz w:val="24"/>
          <w:szCs w:val="24"/>
        </w:rPr>
        <w:t xml:space="preserve"> zostaną zakwalifikowane zgodnie z kryteriami określonymi</w:t>
      </w:r>
      <w:r w:rsidRPr="00AE71F5">
        <w:rPr>
          <w:rFonts w:ascii="Times New Roman" w:eastAsia="Times New Roman" w:hAnsi="Times New Roman" w:cs="Times New Roman"/>
          <w:color w:val="000000"/>
          <w:sz w:val="24"/>
          <w:szCs w:val="24"/>
        </w:rPr>
        <w:t xml:space="preserve"> w załączniku nr 2 do uchwały. </w:t>
      </w:r>
    </w:p>
    <w:p w14:paraId="40A085FA"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Uchwała przewiduje ponadto, iż minister właściwy do spraw informatyzacji, w porozumieniu z ministrem właściwym do spraw wewnętrznych, Ministrem Obrony Narodowej oraz Ministrem – Koordynatorem Służb Specjalnych przygotuje</w:t>
      </w:r>
      <w:r>
        <w:rPr>
          <w:rFonts w:ascii="Times New Roman" w:hAnsi="Times New Roman"/>
          <w:sz w:val="24"/>
        </w:rPr>
        <w:t xml:space="preserve">, w terminie dwóch miesięcy od dnia wejścia w życie uchwały, </w:t>
      </w:r>
      <w:r w:rsidR="00C74A01">
        <w:rPr>
          <w:rFonts w:ascii="Times New Roman" w:hAnsi="Times New Roman" w:cs="Times New Roman"/>
          <w:sz w:val="24"/>
          <w:szCs w:val="24"/>
        </w:rPr>
        <w:t xml:space="preserve">Standardy </w:t>
      </w:r>
      <w:r w:rsidR="0036399C">
        <w:rPr>
          <w:rFonts w:ascii="Times New Roman" w:hAnsi="Times New Roman" w:cs="Times New Roman"/>
          <w:sz w:val="24"/>
          <w:szCs w:val="24"/>
        </w:rPr>
        <w:t>Cyberb</w:t>
      </w:r>
      <w:r w:rsidR="00C74A01">
        <w:rPr>
          <w:rFonts w:ascii="Times New Roman" w:hAnsi="Times New Roman" w:cs="Times New Roman"/>
          <w:sz w:val="24"/>
          <w:szCs w:val="24"/>
        </w:rPr>
        <w:t>ezpieczeństwa Chmur Obliczeniowych</w:t>
      </w:r>
      <w:r>
        <w:rPr>
          <w:rFonts w:ascii="Times New Roman" w:hAnsi="Times New Roman" w:cs="Times New Roman"/>
          <w:sz w:val="24"/>
          <w:szCs w:val="24"/>
        </w:rPr>
        <w:t xml:space="preserve"> (</w:t>
      </w:r>
      <w:r w:rsidR="0034632E">
        <w:rPr>
          <w:rFonts w:ascii="Times New Roman" w:hAnsi="Times New Roman" w:cs="Times New Roman"/>
          <w:sz w:val="24"/>
          <w:szCs w:val="24"/>
        </w:rPr>
        <w:t>SCCO</w:t>
      </w:r>
      <w:r>
        <w:rPr>
          <w:rFonts w:ascii="Times New Roman" w:hAnsi="Times New Roman" w:cs="Times New Roman"/>
          <w:sz w:val="24"/>
          <w:szCs w:val="24"/>
        </w:rPr>
        <w:t xml:space="preserve">), tj. </w:t>
      </w:r>
      <w:r w:rsidRPr="006C5B8C">
        <w:rPr>
          <w:rFonts w:ascii="Times New Roman" w:hAnsi="Times New Roman" w:cs="Times New Roman"/>
          <w:sz w:val="24"/>
          <w:szCs w:val="24"/>
        </w:rPr>
        <w:t xml:space="preserve">zestaw wymagań </w:t>
      </w:r>
      <w:r w:rsidRPr="00415C25">
        <w:rPr>
          <w:rFonts w:ascii="Times New Roman" w:hAnsi="Times New Roman" w:cs="Times New Roman"/>
          <w:sz w:val="24"/>
          <w:szCs w:val="24"/>
        </w:rPr>
        <w:t xml:space="preserve">bezpieczeństwa funkcjonowania </w:t>
      </w:r>
      <w:r w:rsidR="00C74A01">
        <w:rPr>
          <w:rFonts w:ascii="Times New Roman" w:hAnsi="Times New Roman" w:cs="Times New Roman"/>
          <w:sz w:val="24"/>
          <w:szCs w:val="24"/>
        </w:rPr>
        <w:t>Rządowej Chmury Obliczeniowej</w:t>
      </w:r>
      <w:r>
        <w:rPr>
          <w:rFonts w:ascii="Times New Roman" w:hAnsi="Times New Roman" w:cs="Times New Roman"/>
          <w:sz w:val="24"/>
          <w:szCs w:val="24"/>
        </w:rPr>
        <w:t>.</w:t>
      </w:r>
    </w:p>
    <w:p w14:paraId="6940A88D" w14:textId="772334C3" w:rsidR="00D07553"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Operatorem Rządowej Chmury Obliczeniowej</w:t>
      </w:r>
      <w:r>
        <w:rPr>
          <w:rFonts w:ascii="Times New Roman" w:eastAsia="Times New Roman" w:hAnsi="Times New Roman" w:cs="Times New Roman"/>
          <w:color w:val="000000"/>
          <w:sz w:val="24"/>
          <w:szCs w:val="24"/>
        </w:rPr>
        <w:t xml:space="preserve"> jest minister właściwy do spraw</w:t>
      </w:r>
      <w:r w:rsidRPr="00AE71F5">
        <w:rPr>
          <w:rFonts w:ascii="Times New Roman" w:eastAsia="Times New Roman" w:hAnsi="Times New Roman" w:cs="Times New Roman"/>
          <w:color w:val="000000"/>
          <w:sz w:val="24"/>
          <w:szCs w:val="24"/>
        </w:rPr>
        <w:t xml:space="preserve"> informatyzacji, który odpowiedzialny jest za budowę, rozwój i utrzymanie Rządowej Chmury Obliczeniowej. Zadanie to w imieniu ministra </w:t>
      </w:r>
      <w:r>
        <w:rPr>
          <w:rFonts w:ascii="Times New Roman" w:eastAsia="Times New Roman" w:hAnsi="Times New Roman" w:cs="Times New Roman"/>
          <w:color w:val="000000"/>
          <w:sz w:val="24"/>
          <w:szCs w:val="24"/>
        </w:rPr>
        <w:t xml:space="preserve">może zostać powierzone </w:t>
      </w:r>
      <w:r>
        <w:rPr>
          <w:rFonts w:ascii="Times New Roman" w:hAnsi="Times New Roman" w:cs="Times New Roman"/>
          <w:sz w:val="24"/>
          <w:szCs w:val="24"/>
        </w:rPr>
        <w:t>jednostce przez niego nadzorowanej</w:t>
      </w:r>
      <w:r w:rsidRPr="0021789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J</w:t>
      </w:r>
      <w:r w:rsidRPr="00AA2172">
        <w:rPr>
          <w:rFonts w:ascii="Times New Roman" w:eastAsia="Times New Roman" w:hAnsi="Times New Roman" w:cs="Times New Roman"/>
          <w:color w:val="000000"/>
          <w:sz w:val="24"/>
          <w:szCs w:val="24"/>
        </w:rPr>
        <w:t xml:space="preserve">ednostki sektora finansów publicznych </w:t>
      </w:r>
      <w:r>
        <w:rPr>
          <w:rFonts w:ascii="Times New Roman" w:eastAsia="Times New Roman" w:hAnsi="Times New Roman" w:cs="Times New Roman"/>
          <w:color w:val="000000"/>
          <w:sz w:val="24"/>
          <w:szCs w:val="24"/>
        </w:rPr>
        <w:t xml:space="preserve">posiadające już systemy teleinformatyczne lub tworzące takie systemy, </w:t>
      </w:r>
      <w:r w:rsidRPr="00AA2172">
        <w:rPr>
          <w:rFonts w:ascii="Times New Roman" w:eastAsia="Times New Roman" w:hAnsi="Times New Roman" w:cs="Times New Roman"/>
          <w:color w:val="000000"/>
          <w:sz w:val="24"/>
          <w:szCs w:val="24"/>
        </w:rPr>
        <w:t>zainteresowane migracją na Rządową Chmurę Obliczeniową wnioskować będą do ministra właściwego do spraw informatyzacji o zawarcie porozumienia określającego szczegółowe warunki takiej migracji oraz prawa i obowiązki stron w związku z</w:t>
      </w:r>
      <w:r>
        <w:rPr>
          <w:rFonts w:ascii="Times New Roman" w:eastAsia="Times New Roman" w:hAnsi="Times New Roman" w:cs="Times New Roman"/>
          <w:color w:val="000000"/>
          <w:sz w:val="24"/>
          <w:szCs w:val="24"/>
        </w:rPr>
        <w:t>e świadczeniem</w:t>
      </w:r>
      <w:r w:rsidRPr="00AA2172">
        <w:rPr>
          <w:rFonts w:ascii="Times New Roman" w:eastAsia="Times New Roman" w:hAnsi="Times New Roman" w:cs="Times New Roman"/>
          <w:color w:val="000000"/>
          <w:sz w:val="24"/>
          <w:szCs w:val="24"/>
        </w:rPr>
        <w:t xml:space="preserve"> konkretnego </w:t>
      </w:r>
      <w:r>
        <w:rPr>
          <w:rFonts w:ascii="Times New Roman" w:eastAsia="Times New Roman" w:hAnsi="Times New Roman" w:cs="Times New Roman"/>
          <w:color w:val="000000"/>
          <w:sz w:val="24"/>
          <w:szCs w:val="24"/>
        </w:rPr>
        <w:t>zakresu usług</w:t>
      </w:r>
      <w:r w:rsidRPr="00AA217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przetwarzania w oparciu o</w:t>
      </w:r>
      <w:r w:rsidRPr="00AA2172">
        <w:rPr>
          <w:rFonts w:ascii="Times New Roman" w:eastAsia="Times New Roman" w:hAnsi="Times New Roman" w:cs="Times New Roman"/>
          <w:color w:val="000000"/>
          <w:sz w:val="24"/>
          <w:szCs w:val="24"/>
        </w:rPr>
        <w:t xml:space="preserve"> infrastruktur</w:t>
      </w:r>
      <w:r>
        <w:rPr>
          <w:rFonts w:ascii="Times New Roman" w:eastAsia="Times New Roman" w:hAnsi="Times New Roman" w:cs="Times New Roman"/>
          <w:color w:val="000000"/>
          <w:sz w:val="24"/>
          <w:szCs w:val="24"/>
        </w:rPr>
        <w:t>ę</w:t>
      </w:r>
      <w:r w:rsidRPr="00AA2172">
        <w:rPr>
          <w:rFonts w:ascii="Times New Roman" w:eastAsia="Times New Roman" w:hAnsi="Times New Roman" w:cs="Times New Roman"/>
          <w:color w:val="000000"/>
          <w:sz w:val="24"/>
          <w:szCs w:val="24"/>
        </w:rPr>
        <w:t xml:space="preserve"> Rządowej Chmury Obliczeniowej. Wzór porozumienia zostanie udostępniony przez ministra właściwego do spraw informatyzacji. Porozumienia pomiędzy jednostkami a ministrem właściwym do spraw</w:t>
      </w:r>
      <w:r>
        <w:rPr>
          <w:rFonts w:ascii="Times New Roman" w:eastAsia="Times New Roman" w:hAnsi="Times New Roman" w:cs="Times New Roman"/>
          <w:color w:val="000000"/>
          <w:sz w:val="24"/>
          <w:szCs w:val="24"/>
        </w:rPr>
        <w:t xml:space="preserve"> informatyzacji nie będą powodować dodatkowych skutków finansowych</w:t>
      </w:r>
      <w:r w:rsidRPr="00AA2172">
        <w:rPr>
          <w:rFonts w:ascii="Times New Roman" w:eastAsia="Times New Roman" w:hAnsi="Times New Roman" w:cs="Times New Roman"/>
          <w:color w:val="000000"/>
          <w:sz w:val="24"/>
          <w:szCs w:val="24"/>
        </w:rPr>
        <w:t xml:space="preserve">. </w:t>
      </w:r>
    </w:p>
    <w:p w14:paraId="708F162A" w14:textId="77777777" w:rsidR="00D07553" w:rsidRPr="0080602A" w:rsidRDefault="00D07553" w:rsidP="004F5CA2">
      <w:pPr>
        <w:suppressAutoHyphens/>
        <w:autoSpaceDE w:val="0"/>
        <w:autoSpaceDN w:val="0"/>
        <w:adjustRightInd w:val="0"/>
        <w:spacing w:before="120" w:after="0" w:line="360" w:lineRule="auto"/>
        <w:jc w:val="both"/>
        <w:rPr>
          <w:rFonts w:ascii="Times" w:eastAsia="Times New Roman" w:hAnsi="Times" w:cs="Arial"/>
          <w:sz w:val="24"/>
          <w:szCs w:val="20"/>
          <w:lang w:eastAsia="pl-PL"/>
        </w:rPr>
      </w:pPr>
      <w:r>
        <w:rPr>
          <w:rFonts w:ascii="Times New Roman" w:eastAsia="Times New Roman" w:hAnsi="Times New Roman" w:cs="Times New Roman"/>
          <w:color w:val="000000"/>
          <w:sz w:val="24"/>
          <w:szCs w:val="24"/>
        </w:rPr>
        <w:t>W przypadku</w:t>
      </w:r>
      <w:r w:rsidRPr="006A6EEB">
        <w:rPr>
          <w:rFonts w:ascii="Times New Roman" w:hAnsi="Times New Roman" w:cs="Times New Roman"/>
          <w:bCs/>
          <w:sz w:val="24"/>
          <w:szCs w:val="24"/>
        </w:rPr>
        <w:t xml:space="preserve"> projekt</w:t>
      </w:r>
      <w:r>
        <w:rPr>
          <w:rFonts w:ascii="Times New Roman" w:hAnsi="Times New Roman" w:cs="Times New Roman"/>
          <w:bCs/>
          <w:sz w:val="24"/>
          <w:szCs w:val="24"/>
        </w:rPr>
        <w:t>owania</w:t>
      </w:r>
      <w:r w:rsidRPr="006A6EEB">
        <w:rPr>
          <w:rFonts w:ascii="Times New Roman" w:hAnsi="Times New Roman" w:cs="Times New Roman"/>
          <w:bCs/>
          <w:sz w:val="24"/>
          <w:szCs w:val="24"/>
        </w:rPr>
        <w:t xml:space="preserve"> system</w:t>
      </w:r>
      <w:r>
        <w:rPr>
          <w:rFonts w:ascii="Times New Roman" w:hAnsi="Times New Roman" w:cs="Times New Roman"/>
          <w:bCs/>
          <w:sz w:val="24"/>
          <w:szCs w:val="24"/>
        </w:rPr>
        <w:t>ów</w:t>
      </w:r>
      <w:r w:rsidRPr="006A6EEB">
        <w:rPr>
          <w:rFonts w:ascii="Times New Roman" w:hAnsi="Times New Roman" w:cs="Times New Roman"/>
          <w:bCs/>
          <w:sz w:val="24"/>
          <w:szCs w:val="24"/>
        </w:rPr>
        <w:t xml:space="preserve"> teleinformatyczn</w:t>
      </w:r>
      <w:r>
        <w:rPr>
          <w:rFonts w:ascii="Times New Roman" w:hAnsi="Times New Roman" w:cs="Times New Roman"/>
          <w:bCs/>
          <w:sz w:val="24"/>
          <w:szCs w:val="24"/>
        </w:rPr>
        <w:t>ych przez administrację publiczną</w:t>
      </w:r>
      <w:r w:rsidRPr="006A6EEB">
        <w:rPr>
          <w:rFonts w:ascii="Times New Roman" w:hAnsi="Times New Roman" w:cs="Times New Roman"/>
          <w:bCs/>
          <w:sz w:val="24"/>
          <w:szCs w:val="24"/>
        </w:rPr>
        <w:t xml:space="preserve"> po wejściu w życie uchwa</w:t>
      </w:r>
      <w:r w:rsidRPr="006D2D1D">
        <w:rPr>
          <w:rFonts w:ascii="Times New Roman" w:hAnsi="Times New Roman" w:cs="Times New Roman"/>
          <w:bCs/>
          <w:sz w:val="24"/>
          <w:szCs w:val="24"/>
        </w:rPr>
        <w:t>ły,</w:t>
      </w:r>
      <w:r>
        <w:rPr>
          <w:rFonts w:ascii="Times New Roman" w:hAnsi="Times New Roman" w:cs="Times New Roman"/>
          <w:bCs/>
          <w:sz w:val="24"/>
          <w:szCs w:val="24"/>
        </w:rPr>
        <w:t xml:space="preserve"> powinny być one poddane klasyfikacji </w:t>
      </w:r>
      <w:r>
        <w:rPr>
          <w:rFonts w:ascii="Times" w:eastAsia="Times New Roman" w:hAnsi="Times" w:cs="Arial"/>
          <w:bCs/>
          <w:sz w:val="24"/>
          <w:szCs w:val="20"/>
          <w:lang w:eastAsia="pl-PL"/>
        </w:rPr>
        <w:t>odnośnie</w:t>
      </w:r>
      <w:r w:rsidRPr="00ED0C91">
        <w:rPr>
          <w:rFonts w:ascii="Times" w:eastAsia="Times New Roman" w:hAnsi="Times" w:cs="Arial"/>
          <w:bCs/>
          <w:sz w:val="24"/>
          <w:szCs w:val="20"/>
          <w:lang w:eastAsia="pl-PL"/>
        </w:rPr>
        <w:t xml:space="preserve"> </w:t>
      </w:r>
      <w:r w:rsidRPr="0039267D">
        <w:rPr>
          <w:rFonts w:ascii="Times" w:eastAsia="Times New Roman" w:hAnsi="Times" w:cs="Arial"/>
          <w:bCs/>
          <w:sz w:val="24"/>
          <w:szCs w:val="20"/>
          <w:lang w:eastAsia="pl-PL"/>
        </w:rPr>
        <w:t>mo</w:t>
      </w:r>
      <w:r>
        <w:rPr>
          <w:rFonts w:ascii="Times" w:eastAsia="Times New Roman" w:hAnsi="Times" w:cs="Arial"/>
          <w:bCs/>
          <w:sz w:val="24"/>
          <w:szCs w:val="20"/>
          <w:lang w:eastAsia="pl-PL"/>
        </w:rPr>
        <w:t>żliwości</w:t>
      </w:r>
      <w:r w:rsidRPr="0039267D">
        <w:rPr>
          <w:rFonts w:ascii="Times" w:eastAsia="Times New Roman" w:hAnsi="Times" w:cs="Arial"/>
          <w:bCs/>
          <w:sz w:val="24"/>
          <w:szCs w:val="20"/>
          <w:lang w:eastAsia="pl-PL"/>
        </w:rPr>
        <w:t xml:space="preserve"> korzystać z usług przetwarzania w Rządowej Chmurze Obliczeniowej lub publicznych chmurach obliczeniowych, </w:t>
      </w:r>
      <w:r>
        <w:rPr>
          <w:rFonts w:ascii="Times" w:eastAsia="Times New Roman" w:hAnsi="Times" w:cs="Arial"/>
          <w:bCs/>
          <w:sz w:val="24"/>
          <w:szCs w:val="20"/>
          <w:lang w:eastAsia="pl-PL"/>
        </w:rPr>
        <w:t>której kryteria określone są</w:t>
      </w:r>
      <w:r w:rsidRPr="0039267D">
        <w:rPr>
          <w:rFonts w:ascii="Times" w:eastAsia="Times New Roman" w:hAnsi="Times" w:cs="Arial"/>
          <w:bCs/>
          <w:sz w:val="24"/>
          <w:szCs w:val="20"/>
          <w:lang w:eastAsia="pl-PL"/>
        </w:rPr>
        <w:t xml:space="preserve"> w załączniku nr 2 do uchwały.</w:t>
      </w:r>
      <w:r>
        <w:rPr>
          <w:rFonts w:ascii="Times" w:eastAsia="Times New Roman" w:hAnsi="Times" w:cs="Arial"/>
          <w:bCs/>
          <w:sz w:val="24"/>
          <w:szCs w:val="20"/>
          <w:lang w:eastAsia="pl-PL"/>
        </w:rPr>
        <w:t xml:space="preserve"> Następnie </w:t>
      </w:r>
      <w:r>
        <w:rPr>
          <w:rFonts w:ascii="Times" w:eastAsia="Times New Roman" w:hAnsi="Times" w:cs="Arial"/>
          <w:sz w:val="24"/>
          <w:szCs w:val="20"/>
          <w:lang w:eastAsia="pl-PL"/>
        </w:rPr>
        <w:t>systemy teleinformatyczne spełniające kryteria klasyfikacji do korzystania z usług</w:t>
      </w:r>
      <w:r w:rsidRPr="005A1029">
        <w:rPr>
          <w:rFonts w:ascii="Times" w:eastAsia="Times New Roman" w:hAnsi="Times" w:cs="Arial"/>
          <w:bCs/>
          <w:sz w:val="24"/>
          <w:szCs w:val="20"/>
          <w:lang w:eastAsia="pl-PL"/>
        </w:rPr>
        <w:t xml:space="preserve"> </w:t>
      </w:r>
      <w:r>
        <w:rPr>
          <w:rFonts w:ascii="Times" w:eastAsia="Times New Roman" w:hAnsi="Times" w:cs="Arial"/>
          <w:bCs/>
          <w:sz w:val="24"/>
          <w:szCs w:val="20"/>
          <w:lang w:eastAsia="pl-PL"/>
        </w:rPr>
        <w:t>przetwarzania w Rządowej Chmury Obliczeniowej</w:t>
      </w:r>
      <w:r>
        <w:rPr>
          <w:rFonts w:ascii="Times" w:eastAsia="Times New Roman" w:hAnsi="Times" w:cs="Arial"/>
          <w:sz w:val="24"/>
          <w:szCs w:val="20"/>
          <w:lang w:eastAsia="pl-PL"/>
        </w:rPr>
        <w:t xml:space="preserve"> powinny </w:t>
      </w:r>
      <w:r w:rsidRPr="00ED0C91">
        <w:rPr>
          <w:rFonts w:ascii="Times" w:eastAsia="Times New Roman" w:hAnsi="Times" w:cs="Arial"/>
          <w:sz w:val="24"/>
          <w:szCs w:val="20"/>
          <w:lang w:eastAsia="pl-PL"/>
        </w:rPr>
        <w:t>uzysk</w:t>
      </w:r>
      <w:r>
        <w:rPr>
          <w:rFonts w:ascii="Times" w:eastAsia="Times New Roman" w:hAnsi="Times" w:cs="Arial"/>
          <w:sz w:val="24"/>
          <w:szCs w:val="20"/>
          <w:lang w:eastAsia="pl-PL"/>
        </w:rPr>
        <w:t>ać</w:t>
      </w:r>
      <w:r w:rsidRPr="00ED0C91">
        <w:rPr>
          <w:rFonts w:ascii="Times" w:eastAsia="Times New Roman" w:hAnsi="Times" w:cs="Arial"/>
          <w:sz w:val="24"/>
          <w:szCs w:val="20"/>
          <w:lang w:eastAsia="pl-PL"/>
        </w:rPr>
        <w:t xml:space="preserve"> </w:t>
      </w:r>
      <w:r>
        <w:rPr>
          <w:rFonts w:ascii="Times New Roman" w:hAnsi="Times New Roman" w:cs="Times New Roman"/>
          <w:bCs/>
          <w:sz w:val="24"/>
          <w:szCs w:val="24"/>
        </w:rPr>
        <w:t xml:space="preserve"> opinię mi</w:t>
      </w:r>
      <w:r>
        <w:rPr>
          <w:rFonts w:ascii="Times New Roman" w:hAnsi="Times New Roman"/>
          <w:sz w:val="24"/>
        </w:rPr>
        <w:t>nistra</w:t>
      </w:r>
      <w:r w:rsidRPr="006A6EEB">
        <w:rPr>
          <w:rFonts w:ascii="Times New Roman" w:hAnsi="Times New Roman"/>
          <w:sz w:val="24"/>
        </w:rPr>
        <w:t xml:space="preserve"> </w:t>
      </w:r>
      <w:r w:rsidRPr="006A6EEB">
        <w:rPr>
          <w:rFonts w:ascii="Times New Roman" w:hAnsi="Times New Roman"/>
          <w:sz w:val="24"/>
        </w:rPr>
        <w:lastRenderedPageBreak/>
        <w:t>właściw</w:t>
      </w:r>
      <w:r>
        <w:rPr>
          <w:rFonts w:ascii="Times New Roman" w:hAnsi="Times New Roman"/>
          <w:sz w:val="24"/>
        </w:rPr>
        <w:t>ego</w:t>
      </w:r>
      <w:r w:rsidRPr="006A6EEB">
        <w:rPr>
          <w:rFonts w:ascii="Times New Roman" w:hAnsi="Times New Roman"/>
          <w:sz w:val="24"/>
        </w:rPr>
        <w:t xml:space="preserve"> do spraw informatyzacji</w:t>
      </w:r>
      <w:r w:rsidRPr="00921721">
        <w:rPr>
          <w:rFonts w:ascii="Times New Roman" w:hAnsi="Times New Roman"/>
          <w:sz w:val="24"/>
        </w:rPr>
        <w:t xml:space="preserve"> </w:t>
      </w:r>
      <w:r>
        <w:rPr>
          <w:rFonts w:ascii="Times New Roman" w:hAnsi="Times New Roman"/>
          <w:sz w:val="24"/>
        </w:rPr>
        <w:t xml:space="preserve">w zakresie możliwości wykorzystania </w:t>
      </w:r>
      <w:r w:rsidRPr="006A6EEB">
        <w:rPr>
          <w:rFonts w:ascii="Times New Roman" w:hAnsi="Times New Roman"/>
          <w:sz w:val="24"/>
        </w:rPr>
        <w:t>Rządowej Chmur</w:t>
      </w:r>
      <w:r>
        <w:rPr>
          <w:rFonts w:ascii="Times New Roman" w:hAnsi="Times New Roman"/>
          <w:sz w:val="24"/>
        </w:rPr>
        <w:t>y</w:t>
      </w:r>
      <w:r w:rsidRPr="006A6EEB">
        <w:rPr>
          <w:rFonts w:ascii="Times New Roman" w:hAnsi="Times New Roman"/>
          <w:sz w:val="24"/>
        </w:rPr>
        <w:t xml:space="preserve"> Obliczeniowej</w:t>
      </w:r>
      <w:r>
        <w:rPr>
          <w:rFonts w:ascii="Times New Roman" w:hAnsi="Times New Roman" w:cs="Times New Roman"/>
          <w:bCs/>
          <w:sz w:val="24"/>
          <w:szCs w:val="24"/>
        </w:rPr>
        <w:t>.</w:t>
      </w:r>
    </w:p>
    <w:p w14:paraId="3C524D82" w14:textId="77777777" w:rsidR="00D07553"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Organy administracj</w:t>
      </w:r>
      <w:r>
        <w:rPr>
          <w:rFonts w:ascii="Times New Roman" w:eastAsia="Times New Roman" w:hAnsi="Times New Roman" w:cs="Times New Roman"/>
          <w:color w:val="000000"/>
          <w:sz w:val="24"/>
          <w:szCs w:val="24"/>
        </w:rPr>
        <w:t>i rządowej będące posiadaczami Centrów Przetwarzania D</w:t>
      </w:r>
      <w:r w:rsidRPr="00AE71F5">
        <w:rPr>
          <w:rFonts w:ascii="Times New Roman" w:eastAsia="Times New Roman" w:hAnsi="Times New Roman" w:cs="Times New Roman"/>
          <w:color w:val="000000"/>
          <w:sz w:val="24"/>
          <w:szCs w:val="24"/>
        </w:rPr>
        <w:t xml:space="preserve">anych (CPD) </w:t>
      </w:r>
      <w:r>
        <w:rPr>
          <w:rFonts w:ascii="Times New Roman" w:eastAsia="Times New Roman" w:hAnsi="Times New Roman" w:cs="Times New Roman"/>
          <w:color w:val="000000"/>
          <w:sz w:val="24"/>
          <w:szCs w:val="24"/>
        </w:rPr>
        <w:t>będą nawiązywać</w:t>
      </w:r>
      <w:r w:rsidRPr="00AE71F5">
        <w:rPr>
          <w:rFonts w:ascii="Times New Roman" w:eastAsia="Times New Roman" w:hAnsi="Times New Roman" w:cs="Times New Roman"/>
          <w:color w:val="000000"/>
          <w:sz w:val="24"/>
          <w:szCs w:val="24"/>
        </w:rPr>
        <w:t xml:space="preserve"> współpracę w ramach Inicjatywy WIIP z </w:t>
      </w:r>
      <w:r>
        <w:rPr>
          <w:rFonts w:ascii="Times New Roman" w:eastAsia="Times New Roman" w:hAnsi="Times New Roman" w:cs="Times New Roman"/>
          <w:color w:val="000000"/>
          <w:sz w:val="24"/>
          <w:szCs w:val="24"/>
        </w:rPr>
        <w:t>o</w:t>
      </w:r>
      <w:r w:rsidRPr="00AE71F5">
        <w:rPr>
          <w:rFonts w:ascii="Times New Roman" w:eastAsia="Times New Roman" w:hAnsi="Times New Roman" w:cs="Times New Roman"/>
          <w:color w:val="000000"/>
          <w:sz w:val="24"/>
          <w:szCs w:val="24"/>
        </w:rPr>
        <w:t>peratorem Rządowej Chmury Obliczeniowej poprzez zawarcie porozum</w:t>
      </w:r>
      <w:r>
        <w:rPr>
          <w:rFonts w:ascii="Times New Roman" w:eastAsia="Times New Roman" w:hAnsi="Times New Roman" w:cs="Times New Roman"/>
          <w:color w:val="000000"/>
          <w:sz w:val="24"/>
          <w:szCs w:val="24"/>
        </w:rPr>
        <w:t>ienia. Warunkiem koniecznym będzie</w:t>
      </w:r>
      <w:r w:rsidRPr="00AE71F5">
        <w:rPr>
          <w:rFonts w:ascii="Times New Roman" w:eastAsia="Times New Roman" w:hAnsi="Times New Roman" w:cs="Times New Roman"/>
          <w:color w:val="000000"/>
          <w:sz w:val="24"/>
          <w:szCs w:val="24"/>
        </w:rPr>
        <w:t xml:space="preserve"> pisemne oświadczenie o spełnieniu minimalnych wymagań organizacyjnych i technicznych dla posiadacza CPD zawartych w załączniku nr 1 do uchwały. </w:t>
      </w:r>
    </w:p>
    <w:p w14:paraId="3C743EA2" w14:textId="77777777" w:rsidR="00D07553" w:rsidRPr="00BE2587"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gdy konieczne będzie wykorzystanie sieci teletransmisji na potrzeby Rządowej Chmury Obliczeniowej, zawierane będzie porozumienie </w:t>
      </w:r>
      <w:r>
        <w:rPr>
          <w:rFonts w:ascii="Times New Roman" w:hAnsi="Times New Roman" w:cs="Times New Roman"/>
          <w:sz w:val="24"/>
          <w:szCs w:val="24"/>
        </w:rPr>
        <w:t>między właściwym operatorem sieci, a ministrem właściwym do spraw informatyzacji,</w:t>
      </w:r>
      <w:r>
        <w:rPr>
          <w:rFonts w:ascii="Times New Roman" w:eastAsia="Times New Roman" w:hAnsi="Times New Roman" w:cs="Times New Roman"/>
          <w:color w:val="000000"/>
          <w:sz w:val="24"/>
          <w:szCs w:val="24"/>
        </w:rPr>
        <w:t xml:space="preserve"> określające </w:t>
      </w:r>
      <w:r>
        <w:rPr>
          <w:rFonts w:ascii="Times New Roman" w:hAnsi="Times New Roman" w:cs="Times New Roman"/>
          <w:sz w:val="24"/>
          <w:szCs w:val="24"/>
        </w:rPr>
        <w:t>zasady i sposób</w:t>
      </w:r>
      <w:r w:rsidRPr="00FA120A">
        <w:rPr>
          <w:rFonts w:ascii="Times New Roman" w:hAnsi="Times New Roman" w:cs="Times New Roman"/>
          <w:sz w:val="24"/>
          <w:szCs w:val="24"/>
        </w:rPr>
        <w:t xml:space="preserve"> </w:t>
      </w:r>
      <w:r>
        <w:rPr>
          <w:rFonts w:ascii="Times New Roman" w:hAnsi="Times New Roman" w:cs="Times New Roman"/>
          <w:sz w:val="24"/>
          <w:szCs w:val="24"/>
        </w:rPr>
        <w:t xml:space="preserve">wykorzystania sieci teletransmisji na potrzeby Rządowej Chmury Obliczeniowej, a ocena </w:t>
      </w:r>
      <w:r w:rsidRPr="00FA120A">
        <w:rPr>
          <w:rFonts w:ascii="Times New Roman" w:hAnsi="Times New Roman" w:cs="Times New Roman"/>
          <w:sz w:val="24"/>
          <w:szCs w:val="24"/>
        </w:rPr>
        <w:t>spełni</w:t>
      </w:r>
      <w:r>
        <w:rPr>
          <w:rFonts w:ascii="Times New Roman" w:hAnsi="Times New Roman" w:cs="Times New Roman"/>
          <w:sz w:val="24"/>
          <w:szCs w:val="24"/>
        </w:rPr>
        <w:t>e</w:t>
      </w:r>
      <w:r w:rsidRPr="00FA120A">
        <w:rPr>
          <w:rFonts w:ascii="Times New Roman" w:hAnsi="Times New Roman" w:cs="Times New Roman"/>
          <w:sz w:val="24"/>
          <w:szCs w:val="24"/>
        </w:rPr>
        <w:t>nia minimalnych wymagań organizacyjnych i technicznych</w:t>
      </w:r>
      <w:r>
        <w:rPr>
          <w:rFonts w:ascii="Times New Roman" w:hAnsi="Times New Roman" w:cs="Times New Roman"/>
          <w:sz w:val="24"/>
          <w:szCs w:val="24"/>
        </w:rPr>
        <w:t xml:space="preserve"> w zakresie możliwości </w:t>
      </w:r>
      <w:r w:rsidRPr="00BE2587">
        <w:rPr>
          <w:rFonts w:ascii="Times New Roman" w:eastAsia="Times New Roman" w:hAnsi="Times New Roman" w:cs="Times New Roman"/>
          <w:color w:val="000000"/>
          <w:sz w:val="24"/>
          <w:szCs w:val="24"/>
        </w:rPr>
        <w:t xml:space="preserve">przyłączania do sieci teletransmisji będzie każdorazowo uzgadniana między stronami porozumienia. </w:t>
      </w:r>
    </w:p>
    <w:p w14:paraId="52938E7D" w14:textId="77777777" w:rsidR="00D07553" w:rsidRPr="00AE71F5"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Właściwa ochrona teleinformatyczna zasobów przetwarzanych w Rządowej Chmurze Obliczeniowej jest krytyczna dla zapewnienia bezpieczeństwa teleinformatycznego, poufności oraz integralności danych. Realizacja tego zadania wiąże się z zapewnieniem zasobów na dwóch poziomach:</w:t>
      </w:r>
    </w:p>
    <w:p w14:paraId="01CE2FC0" w14:textId="77777777" w:rsidR="00D07553" w:rsidRPr="00AE71F5" w:rsidRDefault="00D07553" w:rsidP="00011790">
      <w:pPr>
        <w:numPr>
          <w:ilvl w:val="0"/>
          <w:numId w:val="1"/>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właściwego sprzętu i oprogramowania dla zapewnienia odpowiedniego technicznie poz</w:t>
      </w:r>
      <w:r>
        <w:rPr>
          <w:rFonts w:ascii="Times New Roman" w:eastAsia="Times New Roman" w:hAnsi="Times New Roman" w:cs="Times New Roman"/>
          <w:color w:val="000000"/>
          <w:sz w:val="24"/>
          <w:szCs w:val="24"/>
        </w:rPr>
        <w:t>iomu ochrony teleinformatycznej;</w:t>
      </w:r>
    </w:p>
    <w:p w14:paraId="5E0A8029" w14:textId="77777777" w:rsidR="00D07553" w:rsidRPr="00AE71F5" w:rsidRDefault="00D07553" w:rsidP="00011790">
      <w:pPr>
        <w:numPr>
          <w:ilvl w:val="0"/>
          <w:numId w:val="1"/>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specjalizow</w:t>
      </w:r>
      <w:r>
        <w:rPr>
          <w:rFonts w:ascii="Times New Roman" w:eastAsia="Times New Roman" w:hAnsi="Times New Roman" w:cs="Times New Roman"/>
          <w:color w:val="000000"/>
          <w:sz w:val="24"/>
          <w:szCs w:val="24"/>
        </w:rPr>
        <w:t>anej organizacji w formie SOC/</w:t>
      </w:r>
      <w:r w:rsidRPr="00AE71F5">
        <w:rPr>
          <w:rFonts w:ascii="Times New Roman" w:eastAsia="Times New Roman" w:hAnsi="Times New Roman" w:cs="Times New Roman"/>
          <w:color w:val="000000"/>
          <w:sz w:val="24"/>
          <w:szCs w:val="24"/>
        </w:rPr>
        <w:t>NOC dla zapewnienia wiedzy oraz adekwatnego sposobu reagowania związanego z zagrożeniami teleinformatycznymi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ich następstwami.</w:t>
      </w:r>
    </w:p>
    <w:p w14:paraId="53E39391" w14:textId="77777777" w:rsidR="00D07553" w:rsidRPr="00AE71F5"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RKB</w:t>
      </w:r>
      <w:r>
        <w:rPr>
          <w:rFonts w:ascii="Times New Roman" w:eastAsia="Times New Roman" w:hAnsi="Times New Roman" w:cs="Times New Roman"/>
          <w:color w:val="000000"/>
          <w:sz w:val="24"/>
          <w:szCs w:val="24"/>
        </w:rPr>
        <w:t>,</w:t>
      </w:r>
      <w:r w:rsidRPr="00AE71F5">
        <w:rPr>
          <w:rFonts w:ascii="Times New Roman" w:eastAsia="Times New Roman" w:hAnsi="Times New Roman" w:cs="Times New Roman"/>
          <w:color w:val="000000"/>
          <w:sz w:val="24"/>
          <w:szCs w:val="24"/>
        </w:rPr>
        <w:t xml:space="preserve"> jako system bezpieczeństwa zapewniał będzie odpowiedni poziom ochrony w</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newralgicznych punktach styku Rządowej Chmury Obliczeniowej zarówno z sieciami publicznymi j</w:t>
      </w:r>
      <w:r>
        <w:rPr>
          <w:rFonts w:ascii="Times New Roman" w:eastAsia="Times New Roman" w:hAnsi="Times New Roman" w:cs="Times New Roman"/>
          <w:color w:val="000000"/>
          <w:sz w:val="24"/>
          <w:szCs w:val="24"/>
        </w:rPr>
        <w:t>ak i z sieciami odbiorców usług przetwarzania</w:t>
      </w:r>
      <w:r w:rsidRPr="00AE71F5">
        <w:rPr>
          <w:rFonts w:ascii="Times New Roman" w:eastAsia="Times New Roman" w:hAnsi="Times New Roman" w:cs="Times New Roman"/>
          <w:color w:val="000000"/>
          <w:sz w:val="24"/>
          <w:szCs w:val="24"/>
        </w:rPr>
        <w:t>.</w:t>
      </w:r>
    </w:p>
    <w:p w14:paraId="5CA0F705" w14:textId="77777777" w:rsidR="00D07553" w:rsidRPr="00BE2587"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BE2587">
        <w:rPr>
          <w:rFonts w:ascii="Times New Roman" w:eastAsia="Times New Roman" w:hAnsi="Times New Roman" w:cs="Times New Roman"/>
          <w:color w:val="000000"/>
          <w:sz w:val="24"/>
          <w:szCs w:val="24"/>
        </w:rPr>
        <w:t>Budowę i rozwój RKB minister właściwy do spraw informatyzacji może powierzyć jednostce przez niego nadzorowanej lub innemu wybranemu podmiotowi.</w:t>
      </w:r>
    </w:p>
    <w:p w14:paraId="26315063" w14:textId="77777777" w:rsidR="00D07553" w:rsidRPr="00AE71F5"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Inicjatywa WIIP obejmuje również budowę i utrzymanie systemu teleinformatycznego pod nazwą System Zapewnienia Usług Chmurowych, wspomagającego zarządzani</w:t>
      </w:r>
      <w:r>
        <w:rPr>
          <w:rFonts w:ascii="Times New Roman" w:eastAsia="Times New Roman" w:hAnsi="Times New Roman" w:cs="Times New Roman"/>
          <w:color w:val="000000"/>
          <w:sz w:val="24"/>
          <w:szCs w:val="24"/>
        </w:rPr>
        <w:t>e</w:t>
      </w:r>
      <w:r w:rsidRPr="00AE71F5">
        <w:rPr>
          <w:rFonts w:ascii="Times New Roman" w:eastAsia="Times New Roman" w:hAnsi="Times New Roman" w:cs="Times New Roman"/>
          <w:color w:val="000000"/>
          <w:sz w:val="24"/>
          <w:szCs w:val="24"/>
        </w:rPr>
        <w:t xml:space="preserve"> usługami przetwarzania w chmurze świadczonymi dla podmiotów administracji publicznej.  Zgodnie z</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przyjętymi założeniami system ten obsługiwał będzie proces zamawiania, dostarczania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rozliczania usług przetwarzania w Rządowej Chmurze Obliczeniowej oraz usług </w:t>
      </w:r>
      <w:r w:rsidRPr="00AE71F5">
        <w:rPr>
          <w:rFonts w:ascii="Times New Roman" w:eastAsia="Times New Roman" w:hAnsi="Times New Roman" w:cs="Times New Roman"/>
          <w:color w:val="000000"/>
          <w:sz w:val="24"/>
          <w:szCs w:val="24"/>
        </w:rPr>
        <w:lastRenderedPageBreak/>
        <w:t>przetwarzania w publicznych chmurach obliczeniowych. Za funkcjonowanie Systemu odpowiedzia</w:t>
      </w:r>
      <w:r>
        <w:rPr>
          <w:rFonts w:ascii="Times New Roman" w:eastAsia="Times New Roman" w:hAnsi="Times New Roman" w:cs="Times New Roman"/>
          <w:color w:val="000000"/>
          <w:sz w:val="24"/>
          <w:szCs w:val="24"/>
        </w:rPr>
        <w:t>lny będzie minister właściwy do spraw</w:t>
      </w:r>
      <w:r w:rsidRPr="00AE71F5">
        <w:rPr>
          <w:rFonts w:ascii="Times New Roman" w:eastAsia="Times New Roman" w:hAnsi="Times New Roman" w:cs="Times New Roman"/>
          <w:color w:val="000000"/>
          <w:sz w:val="24"/>
          <w:szCs w:val="24"/>
        </w:rPr>
        <w:t xml:space="preserve"> informatyzacji.  </w:t>
      </w:r>
    </w:p>
    <w:p w14:paraId="4CE5AA13" w14:textId="77777777" w:rsidR="00D07553"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Udostępnione w Systemie Zamawiania Usług Chmurowych katalogi usług będą po</w:t>
      </w:r>
      <w:r>
        <w:rPr>
          <w:rFonts w:ascii="Times New Roman" w:eastAsia="Times New Roman" w:hAnsi="Times New Roman" w:cs="Times New Roman"/>
          <w:color w:val="000000"/>
          <w:sz w:val="24"/>
          <w:szCs w:val="24"/>
        </w:rPr>
        <w:t>dlegały cyklicznej aktualizacji</w:t>
      </w:r>
      <w:r w:rsidRPr="00AE71F5">
        <w:rPr>
          <w:rFonts w:ascii="Times New Roman" w:eastAsia="Times New Roman" w:hAnsi="Times New Roman" w:cs="Times New Roman"/>
          <w:color w:val="000000"/>
          <w:sz w:val="24"/>
          <w:szCs w:val="24"/>
        </w:rPr>
        <w:t xml:space="preserve"> w przypadku Rządowej Chmury Obliczeniowej, natomiast dla katalogu usług przetwarzania w publicznych chmurach obliczeniowych ak</w:t>
      </w:r>
      <w:r>
        <w:rPr>
          <w:rFonts w:ascii="Times New Roman" w:eastAsia="Times New Roman" w:hAnsi="Times New Roman" w:cs="Times New Roman"/>
          <w:color w:val="000000"/>
          <w:sz w:val="24"/>
          <w:szCs w:val="24"/>
        </w:rPr>
        <w:t>tualizacje zależeć będą od postę</w:t>
      </w:r>
      <w:r w:rsidRPr="00AE71F5">
        <w:rPr>
          <w:rFonts w:ascii="Times New Roman" w:eastAsia="Times New Roman" w:hAnsi="Times New Roman" w:cs="Times New Roman"/>
          <w:color w:val="000000"/>
          <w:sz w:val="24"/>
          <w:szCs w:val="24"/>
        </w:rPr>
        <w:t>powań zakupowych realizowanych przez centralnego zamawiającego</w:t>
      </w:r>
      <w:r>
        <w:rPr>
          <w:rFonts w:ascii="Times New Roman" w:eastAsia="Times New Roman" w:hAnsi="Times New Roman" w:cs="Times New Roman"/>
          <w:color w:val="000000"/>
          <w:sz w:val="24"/>
          <w:szCs w:val="24"/>
        </w:rPr>
        <w:t xml:space="preserve"> lub w formule zamówień wspólnych</w:t>
      </w:r>
      <w:r w:rsidRPr="00AE71F5">
        <w:rPr>
          <w:rFonts w:ascii="Times New Roman" w:eastAsia="Times New Roman" w:hAnsi="Times New Roman" w:cs="Times New Roman"/>
          <w:color w:val="000000"/>
          <w:sz w:val="24"/>
          <w:szCs w:val="24"/>
        </w:rPr>
        <w:t xml:space="preserve">. </w:t>
      </w:r>
    </w:p>
    <w:p w14:paraId="21BA7904" w14:textId="77777777" w:rsidR="00D07553" w:rsidRPr="00430256" w:rsidRDefault="00D07553" w:rsidP="00D07553">
      <w:pPr>
        <w:spacing w:after="120" w:line="360" w:lineRule="auto"/>
        <w:jc w:val="both"/>
        <w:rPr>
          <w:rFonts w:ascii="Times New Roman" w:eastAsia="Times New Roman" w:hAnsi="Times New Roman" w:cs="Times New Roman"/>
          <w:color w:val="000000"/>
          <w:sz w:val="24"/>
          <w:szCs w:val="24"/>
        </w:rPr>
      </w:pPr>
      <w:r w:rsidRPr="00430256">
        <w:rPr>
          <w:rFonts w:ascii="Times New Roman" w:eastAsia="Times New Roman" w:hAnsi="Times New Roman" w:cs="Times New Roman"/>
          <w:color w:val="000000"/>
          <w:sz w:val="24"/>
          <w:szCs w:val="24"/>
        </w:rPr>
        <w:t xml:space="preserve">Wdrożenie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w proponowanym kształcie pozwoli na przywrócenie kontroli państwa nad bezpieczeństwem tego rodzaju usług, które obecnie są kupowane bez określonych standardów bezpieczeństwa.</w:t>
      </w:r>
    </w:p>
    <w:p w14:paraId="09C14754" w14:textId="77777777" w:rsidR="00D07553" w:rsidRDefault="00D07553" w:rsidP="00D07553">
      <w:pPr>
        <w:spacing w:after="120" w:line="360" w:lineRule="auto"/>
        <w:jc w:val="both"/>
        <w:rPr>
          <w:rFonts w:ascii="Times New Roman" w:eastAsia="Times New Roman" w:hAnsi="Times New Roman" w:cs="Times New Roman"/>
          <w:color w:val="000000"/>
          <w:sz w:val="24"/>
          <w:szCs w:val="24"/>
        </w:rPr>
      </w:pPr>
      <w:r w:rsidRPr="00430256">
        <w:rPr>
          <w:rFonts w:ascii="Times New Roman" w:eastAsia="Times New Roman" w:hAnsi="Times New Roman" w:cs="Times New Roman"/>
          <w:color w:val="000000"/>
          <w:sz w:val="24"/>
          <w:szCs w:val="24"/>
        </w:rPr>
        <w:t xml:space="preserve">Celem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jest wypełnienie luki w zakresie dostaw usług infrastrukturalnych dla administracji publicznej. Projekt Systemu Zapewniania Usług Chmurowych ma na celu obsługę procesu realizacji zamówień publicznych na dostawę wybranego katalogu usług. Dostawcy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muszą spełniać wymagania określone w ogłoszeniu na zamówienie, w tym w zakresie sposobu przetwarzania danych. Dostawcy będą weryfikowani przy każdym zawartym zamówieniu w ramach umów wykonawczych. Dodatkowo zgodnie z klasyfikacją danych i systemów przedstawionych w projekcie uchwały z usług chmury publicznej będzie można korzystać w ograniczonym zakresie (dane publiczne, systemu o niekrytycznym znaczeniu).</w:t>
      </w:r>
    </w:p>
    <w:p w14:paraId="56DA0FD2" w14:textId="028C40EC"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Projektowana uchwała wskazuje model finansowania Inicjatywy WIIP, zgodnie z którym środki na realizację pochodzić będą z rezerwy celowej,</w:t>
      </w:r>
      <w:r w:rsidR="004F5CA2" w:rsidRPr="004F5CA2">
        <w:rPr>
          <w:rFonts w:ascii="Times New Roman" w:eastAsia="Times New Roman" w:hAnsi="Times New Roman" w:cs="Times New Roman"/>
          <w:color w:val="000000"/>
          <w:sz w:val="24"/>
          <w:szCs w:val="24"/>
        </w:rPr>
        <w:t xml:space="preserve"> której podział dokonywany </w:t>
      </w:r>
      <w:r w:rsidR="004F5CA2">
        <w:rPr>
          <w:rFonts w:ascii="Times New Roman" w:eastAsia="Times New Roman" w:hAnsi="Times New Roman" w:cs="Times New Roman"/>
          <w:color w:val="000000"/>
          <w:sz w:val="24"/>
          <w:szCs w:val="24"/>
        </w:rPr>
        <w:t>będzie</w:t>
      </w:r>
      <w:r w:rsidR="004F5CA2" w:rsidRPr="004F5CA2">
        <w:rPr>
          <w:rFonts w:ascii="Times New Roman" w:eastAsia="Times New Roman" w:hAnsi="Times New Roman" w:cs="Times New Roman"/>
          <w:color w:val="000000"/>
          <w:sz w:val="24"/>
          <w:szCs w:val="24"/>
        </w:rPr>
        <w:t xml:space="preserve"> zgodnie z przepisami ustawy z dnia 27 sierpnia 2009 r. o finansach publicznych, przy czym minister właściwy do spraw informatyzacji </w:t>
      </w:r>
      <w:r w:rsidR="004F5CA2">
        <w:rPr>
          <w:rFonts w:ascii="Times New Roman" w:eastAsia="Times New Roman" w:hAnsi="Times New Roman" w:cs="Times New Roman"/>
          <w:color w:val="000000"/>
          <w:sz w:val="24"/>
          <w:szCs w:val="24"/>
        </w:rPr>
        <w:t>będzie dokonywał</w:t>
      </w:r>
      <w:r w:rsidR="004F5CA2" w:rsidRPr="004F5CA2">
        <w:rPr>
          <w:rFonts w:ascii="Times New Roman" w:eastAsia="Times New Roman" w:hAnsi="Times New Roman" w:cs="Times New Roman"/>
          <w:color w:val="000000"/>
          <w:sz w:val="24"/>
          <w:szCs w:val="24"/>
        </w:rPr>
        <w:t xml:space="preserve"> weryfikacji i akceptacji przedłożonych wniosków o podział rezerwy.</w:t>
      </w:r>
    </w:p>
    <w:p w14:paraId="069DCEDF"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Mechanizm zapotrzebowania na Rządową Chmurę Obliczeniową zakłada coroczne prognozowanie zapotrzebowania na usługi przetwarzania, co stanowić będzie mechanizm pozwalający na dostosowanie popytu do możliwości rozwoju usług chmurowych. </w:t>
      </w:r>
    </w:p>
    <w:p w14:paraId="6F1603D8"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Załącznik nr 1 do uchwały opisuje </w:t>
      </w:r>
      <w:r>
        <w:rPr>
          <w:rFonts w:ascii="Times New Roman" w:eastAsia="Times New Roman" w:hAnsi="Times New Roman" w:cs="Times New Roman"/>
          <w:color w:val="000000"/>
          <w:sz w:val="24"/>
          <w:szCs w:val="24"/>
        </w:rPr>
        <w:t xml:space="preserve">minimalne </w:t>
      </w:r>
      <w:r w:rsidRPr="00AE71F5">
        <w:rPr>
          <w:rFonts w:ascii="Times New Roman" w:eastAsia="Times New Roman" w:hAnsi="Times New Roman" w:cs="Times New Roman"/>
          <w:color w:val="000000"/>
          <w:sz w:val="24"/>
          <w:szCs w:val="24"/>
        </w:rPr>
        <w:t>wymagania względe</w:t>
      </w:r>
      <w:r>
        <w:rPr>
          <w:rFonts w:ascii="Times New Roman" w:eastAsia="Times New Roman" w:hAnsi="Times New Roman" w:cs="Times New Roman"/>
          <w:color w:val="000000"/>
          <w:sz w:val="24"/>
          <w:szCs w:val="24"/>
        </w:rPr>
        <w:t>m CPD</w:t>
      </w:r>
      <w:r w:rsidRPr="00AE71F5">
        <w:rPr>
          <w:rFonts w:ascii="Times New Roman" w:eastAsia="Times New Roman" w:hAnsi="Times New Roman" w:cs="Times New Roman"/>
          <w:color w:val="000000"/>
          <w:sz w:val="24"/>
          <w:szCs w:val="24"/>
        </w:rPr>
        <w:t>, które stanowią podstawę infrastruktury przetwarzania danych i gwarantują jej poprawne i bezpieczne działanie. Wymagania dla CPD – zarówno techniczne jak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organizacyjne – stanowią zbiór, którego spełnienie warunkuje ujednolicenie standardu bezpieczeństwa oraz jego odpowiedni </w:t>
      </w:r>
      <w:r w:rsidRPr="00AE71F5">
        <w:rPr>
          <w:rFonts w:ascii="Times New Roman" w:eastAsia="Times New Roman" w:hAnsi="Times New Roman" w:cs="Times New Roman"/>
          <w:color w:val="000000"/>
          <w:sz w:val="24"/>
          <w:szCs w:val="24"/>
        </w:rPr>
        <w:lastRenderedPageBreak/>
        <w:t>poziom, dla systemów, które będą musiały być przetwarzane w ramach Rządowej Chmury Obliczeniowej.</w:t>
      </w:r>
    </w:p>
    <w:p w14:paraId="3A9E7692" w14:textId="77777777"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Załącznik nr 2 opisuje</w:t>
      </w:r>
      <w:r w:rsidRPr="00AE71F5">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zawiera kryteria klasyfikacji systemów teleinformatycznych, które mogą korzystać z usług przetwarzania w Rządowej Chmurze Obliczeniowej lub publicznych chmurach obliczeniowych</w:t>
      </w:r>
      <w:r w:rsidRPr="00AE71F5">
        <w:rPr>
          <w:rFonts w:ascii="Times New Roman" w:eastAsia="Times New Roman" w:hAnsi="Times New Roman" w:cs="Times New Roman"/>
          <w:color w:val="000000"/>
          <w:sz w:val="24"/>
          <w:szCs w:val="24"/>
        </w:rPr>
        <w:t>.</w:t>
      </w:r>
    </w:p>
    <w:p w14:paraId="6C3797AD" w14:textId="77777777" w:rsidR="00D07553" w:rsidRPr="006557FB" w:rsidRDefault="00D07553" w:rsidP="00D07553">
      <w:pPr>
        <w:pStyle w:val="ARTartustawynprozporzdzenia"/>
        <w:spacing w:after="120"/>
        <w:ind w:firstLine="0"/>
      </w:pPr>
      <w:r>
        <w:t>Projekt uchwały</w:t>
      </w:r>
      <w:r w:rsidRPr="00FF2E83">
        <w:t xml:space="preserve"> nie jest sprzeczny z prawem Unii Europejskiej.</w:t>
      </w:r>
    </w:p>
    <w:p w14:paraId="2BC2C37B" w14:textId="77777777" w:rsidR="00D07553" w:rsidRPr="006557FB" w:rsidRDefault="00D07553" w:rsidP="00D07553">
      <w:pPr>
        <w:pStyle w:val="ARTartustawynprozporzdzenia"/>
        <w:spacing w:after="120"/>
        <w:ind w:firstLine="0"/>
      </w:pPr>
      <w:r w:rsidRPr="00FF2E83">
        <w:t>Projektowana regulacja nie zawiera przepisów technicznych w rozumieniu rozporządzenia Rady Ministrów z dnia 23 grudnia 2002 r. w sprawie sposobu funkcjonowania krajowego systemu notyfikacji norm i aktów prawnych (Dz. U. poz. 2039 oraz z 2004 r. poz. 597) i</w:t>
      </w:r>
      <w:r>
        <w:t> </w:t>
      </w:r>
      <w:r w:rsidRPr="00FF2E83">
        <w:t>nie</w:t>
      </w:r>
      <w:r>
        <w:t> </w:t>
      </w:r>
      <w:r w:rsidRPr="00FF2E83">
        <w:t>podlega notyfikacji Komisji Europejskiej.</w:t>
      </w:r>
    </w:p>
    <w:p w14:paraId="69D2146E" w14:textId="77777777" w:rsidR="00D07553" w:rsidRPr="006557FB" w:rsidRDefault="00D07553" w:rsidP="00D07553">
      <w:pPr>
        <w:pStyle w:val="ARTartustawynprozporzdzenia"/>
        <w:spacing w:after="120"/>
        <w:ind w:firstLine="0"/>
      </w:pPr>
      <w:r w:rsidRPr="00FF2E83">
        <w:t>Projektowana regulacja nie będzie wymagała notyfikacji Komisji Europejskiej w trybie ustawy z dnia 30 kwietnia 2004 r. o postępowaniu w sprawach dotyczących pomocy publicznej (Dz.</w:t>
      </w:r>
      <w:r>
        <w:t> </w:t>
      </w:r>
      <w:r w:rsidRPr="00FF2E83">
        <w:t>U. z 2018 r. poz. 362).</w:t>
      </w:r>
    </w:p>
    <w:p w14:paraId="3B66BC7E" w14:textId="77777777" w:rsidR="00D07553" w:rsidRPr="006557FB" w:rsidRDefault="00D07553" w:rsidP="00D07553">
      <w:pPr>
        <w:pStyle w:val="ARTartustawynprozporzdzenia"/>
        <w:spacing w:after="120"/>
        <w:ind w:firstLine="0"/>
      </w:pPr>
      <w:r w:rsidRPr="00FF2E83">
        <w:t>Projekt nie wymaga przedłożenia instytucjom i organom Unii Europejskiej, w tym</w:t>
      </w:r>
      <w:r>
        <w:t xml:space="preserve"> </w:t>
      </w:r>
      <w:r w:rsidRPr="00FF2E83">
        <w:t xml:space="preserve">Europejskiemu Bankowi Centralnemu, w celu uzyskania opinii, dokonania powiadomienia, konsultacji albo uzgodnienia. </w:t>
      </w:r>
    </w:p>
    <w:p w14:paraId="6F5A0344" w14:textId="77777777" w:rsidR="00D07553" w:rsidRPr="006557FB" w:rsidRDefault="00D07553" w:rsidP="00D07553">
      <w:pPr>
        <w:pStyle w:val="ARTartustawynprozporzdzenia"/>
        <w:spacing w:after="120"/>
        <w:ind w:firstLine="0"/>
      </w:pPr>
      <w:r>
        <w:t>Projekt uchwały nie będzie miał</w:t>
      </w:r>
      <w:r w:rsidRPr="00FF2E83">
        <w:t xml:space="preserve"> wpływu na działalność mikroprzedsiębiorców, małych i średnich przedsiębiorców. </w:t>
      </w:r>
    </w:p>
    <w:p w14:paraId="6B3C2B35" w14:textId="77777777" w:rsidR="00D07553" w:rsidRPr="00834BFD" w:rsidRDefault="00D07553" w:rsidP="00D07553">
      <w:pPr>
        <w:pStyle w:val="NIEARTTEKSTtekstnieartykuowanynppodstprawnarozplubpreambua"/>
        <w:spacing w:before="0" w:after="120"/>
        <w:ind w:firstLine="0"/>
      </w:pPr>
      <w:r>
        <w:t>Projekt uchwały</w:t>
      </w:r>
      <w:r w:rsidRPr="00E91EDA">
        <w:t xml:space="preserve"> zosta</w:t>
      </w:r>
      <w:r>
        <w:t>ł</w:t>
      </w:r>
      <w:r w:rsidRPr="00E91EDA">
        <w:t xml:space="preserve"> umieszczony w Biuletynie Informacji Publicznej na stronie intern</w:t>
      </w:r>
      <w:r>
        <w:t>etowej Ministerstwa Cyfryzacji.</w:t>
      </w:r>
    </w:p>
    <w:p w14:paraId="7067BBD4" w14:textId="77777777" w:rsidR="004F5CA2" w:rsidRPr="00ED0C91" w:rsidRDefault="00D07553" w:rsidP="004F5CA2">
      <w:pPr>
        <w:suppressAutoHyphens/>
        <w:autoSpaceDE w:val="0"/>
        <w:autoSpaceDN w:val="0"/>
        <w:adjustRightInd w:val="0"/>
        <w:spacing w:before="120" w:after="0" w:line="360" w:lineRule="auto"/>
        <w:jc w:val="both"/>
        <w:rPr>
          <w:rFonts w:ascii="Times" w:eastAsia="Times New Roman" w:hAnsi="Times" w:cs="Arial"/>
          <w:sz w:val="24"/>
          <w:szCs w:val="20"/>
          <w:lang w:eastAsia="pl-PL"/>
        </w:rPr>
      </w:pPr>
      <w:r w:rsidRPr="00AE71F5">
        <w:rPr>
          <w:rFonts w:ascii="Times New Roman" w:hAnsi="Times New Roman" w:cs="Times New Roman"/>
          <w:sz w:val="24"/>
          <w:szCs w:val="24"/>
        </w:rPr>
        <w:t xml:space="preserve">Uchwała wchodzi w życie z dniem </w:t>
      </w:r>
      <w:r>
        <w:rPr>
          <w:rFonts w:ascii="Times New Roman" w:hAnsi="Times New Roman" w:cs="Times New Roman"/>
          <w:sz w:val="24"/>
          <w:szCs w:val="24"/>
        </w:rPr>
        <w:t>następującym po dniu ogłoszenia</w:t>
      </w:r>
      <w:r w:rsidR="004F5CA2">
        <w:rPr>
          <w:rFonts w:ascii="Times New Roman" w:hAnsi="Times New Roman" w:cs="Times New Roman"/>
          <w:sz w:val="24"/>
          <w:szCs w:val="24"/>
        </w:rPr>
        <w:t xml:space="preserve">, z wyjątkiem </w:t>
      </w:r>
      <w:r w:rsidR="004F5CA2" w:rsidRPr="004912E3">
        <w:rPr>
          <w:rFonts w:ascii="Times" w:eastAsia="Times New Roman" w:hAnsi="Times" w:cs="Arial"/>
          <w:sz w:val="24"/>
          <w:szCs w:val="20"/>
          <w:lang w:eastAsia="pl-PL"/>
        </w:rPr>
        <w:t>§</w:t>
      </w:r>
      <w:r w:rsidR="004F5CA2">
        <w:rPr>
          <w:rFonts w:ascii="Times" w:eastAsia="Times New Roman" w:hAnsi="Times" w:cs="Arial"/>
          <w:sz w:val="24"/>
          <w:szCs w:val="20"/>
          <w:lang w:eastAsia="pl-PL"/>
        </w:rPr>
        <w:t> </w:t>
      </w:r>
      <w:r w:rsidR="004F5CA2" w:rsidRPr="004912E3">
        <w:rPr>
          <w:rFonts w:ascii="Times" w:eastAsia="Times New Roman" w:hAnsi="Times" w:cs="Arial"/>
          <w:sz w:val="24"/>
          <w:szCs w:val="20"/>
          <w:lang w:eastAsia="pl-PL"/>
        </w:rPr>
        <w:t>9, który wchodzi w życie z dniem 1 stycznia 2020 r</w:t>
      </w:r>
      <w:r w:rsidR="004F5CA2" w:rsidRPr="009A6928">
        <w:rPr>
          <w:rFonts w:ascii="Times" w:eastAsia="Times New Roman" w:hAnsi="Times" w:cs="Arial"/>
          <w:sz w:val="24"/>
          <w:szCs w:val="20"/>
          <w:lang w:eastAsia="pl-PL"/>
        </w:rPr>
        <w:t>.</w:t>
      </w:r>
    </w:p>
    <w:p w14:paraId="7E52727B" w14:textId="61043A99" w:rsidR="00D07553" w:rsidRDefault="00D07553" w:rsidP="00D07553">
      <w:pPr>
        <w:autoSpaceDN w:val="0"/>
        <w:spacing w:after="120" w:line="360" w:lineRule="auto"/>
        <w:jc w:val="both"/>
        <w:rPr>
          <w:rFonts w:ascii="Times New Roman" w:hAnsi="Times New Roman" w:cs="Times New Roman"/>
          <w:sz w:val="24"/>
          <w:szCs w:val="24"/>
        </w:rPr>
      </w:pPr>
    </w:p>
    <w:p w14:paraId="3BFEDDFB" w14:textId="77777777" w:rsidR="00DA60BA" w:rsidRPr="00D07553" w:rsidRDefault="00DA60BA" w:rsidP="00BE2587">
      <w:pPr>
        <w:spacing w:after="120" w:line="360" w:lineRule="auto"/>
        <w:rPr>
          <w:rFonts w:ascii="Times New Roman" w:eastAsia="Times New Roman" w:hAnsi="Times New Roman" w:cs="Times New Roman"/>
          <w:color w:val="000000"/>
          <w:sz w:val="24"/>
          <w:szCs w:val="24"/>
        </w:rPr>
      </w:pPr>
      <w:r>
        <w:rPr>
          <w:rFonts w:ascii="Times New Roman" w:hAnsi="Times New Roman" w:cs="Times New Roman"/>
          <w:sz w:val="24"/>
          <w:szCs w:val="24"/>
        </w:rPr>
        <w:br w:type="page"/>
      </w:r>
    </w:p>
    <w:tbl>
      <w:tblPr>
        <w:tblW w:w="56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2"/>
        <w:gridCol w:w="288"/>
        <w:gridCol w:w="724"/>
        <w:gridCol w:w="351"/>
        <w:gridCol w:w="198"/>
        <w:gridCol w:w="567"/>
        <w:gridCol w:w="188"/>
        <w:gridCol w:w="151"/>
        <w:gridCol w:w="343"/>
        <w:gridCol w:w="33"/>
        <w:gridCol w:w="588"/>
        <w:gridCol w:w="122"/>
        <w:gridCol w:w="571"/>
        <w:gridCol w:w="153"/>
        <w:gridCol w:w="12"/>
        <w:gridCol w:w="553"/>
        <w:gridCol w:w="406"/>
        <w:gridCol w:w="153"/>
        <w:gridCol w:w="265"/>
        <w:gridCol w:w="294"/>
        <w:gridCol w:w="155"/>
        <w:gridCol w:w="377"/>
        <w:gridCol w:w="349"/>
        <w:gridCol w:w="73"/>
        <w:gridCol w:w="600"/>
        <w:gridCol w:w="745"/>
        <w:gridCol w:w="959"/>
      </w:tblGrid>
      <w:tr w:rsidR="00DA60BA" w:rsidRPr="00DA60BA" w14:paraId="563A289A" w14:textId="77777777" w:rsidTr="002F6B0A">
        <w:trPr>
          <w:trHeight w:val="1611"/>
        </w:trPr>
        <w:tc>
          <w:tcPr>
            <w:tcW w:w="3054" w:type="pct"/>
            <w:gridSpan w:val="17"/>
          </w:tcPr>
          <w:p w14:paraId="3B96C56B" w14:textId="77777777" w:rsidR="00DA60BA" w:rsidRPr="00DA60BA" w:rsidRDefault="00DA60BA" w:rsidP="00DA60BA">
            <w:pPr>
              <w:spacing w:before="120" w:after="0" w:line="240" w:lineRule="auto"/>
              <w:ind w:hanging="45"/>
              <w:jc w:val="both"/>
              <w:rPr>
                <w:rFonts w:ascii="Times New Roman" w:eastAsia="Calibri" w:hAnsi="Times New Roman" w:cs="Times New Roman"/>
                <w:color w:val="000000"/>
                <w:sz w:val="21"/>
              </w:rPr>
            </w:pPr>
            <w:bookmarkStart w:id="44" w:name="t1"/>
            <w:r w:rsidRPr="00DA60BA">
              <w:rPr>
                <w:rFonts w:ascii="Times New Roman" w:eastAsia="Calibri" w:hAnsi="Times New Roman" w:cs="Times New Roman"/>
                <w:b/>
                <w:color w:val="000000"/>
                <w:sz w:val="21"/>
              </w:rPr>
              <w:lastRenderedPageBreak/>
              <w:t>Nazwa projektu</w:t>
            </w:r>
          </w:p>
          <w:p w14:paraId="22206E8B" w14:textId="77777777" w:rsidR="00DA60BA" w:rsidRPr="00DA60BA" w:rsidRDefault="00DA60BA" w:rsidP="00DA60BA">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Projekt uchwały Rady Ministrów w sprawie Inicjatywy „Wspólna Infrastruktura Informatyczna Państwa” (WIIP)</w:t>
            </w:r>
          </w:p>
          <w:p w14:paraId="513D87B6" w14:textId="77777777" w:rsidR="00DA60BA" w:rsidRPr="00DA60BA" w:rsidRDefault="00DA60BA" w:rsidP="00DA60BA">
            <w:pPr>
              <w:spacing w:before="120" w:after="0" w:line="240" w:lineRule="auto"/>
              <w:ind w:hanging="45"/>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Ministerstwo wiodące i ministerstwa współpracujące</w:t>
            </w:r>
          </w:p>
          <w:bookmarkEnd w:id="44"/>
          <w:p w14:paraId="408C3A51" w14:textId="77777777" w:rsidR="00DA60BA" w:rsidRDefault="004E0371" w:rsidP="00DA60BA">
            <w:pPr>
              <w:spacing w:after="0" w:line="240" w:lineRule="auto"/>
              <w:ind w:hanging="34"/>
              <w:jc w:val="both"/>
              <w:rPr>
                <w:rFonts w:ascii="Times New Roman" w:eastAsia="Calibri" w:hAnsi="Times New Roman" w:cs="Times New Roman"/>
                <w:color w:val="000000"/>
                <w:sz w:val="21"/>
              </w:rPr>
            </w:pPr>
            <w:r>
              <w:rPr>
                <w:rFonts w:ascii="Times New Roman" w:eastAsia="Calibri" w:hAnsi="Times New Roman" w:cs="Times New Roman"/>
                <w:color w:val="000000"/>
                <w:sz w:val="21"/>
              </w:rPr>
              <w:t>Ministerstwo Cyfryzacji</w:t>
            </w:r>
          </w:p>
          <w:p w14:paraId="5EA6102A" w14:textId="77777777" w:rsidR="004E0371" w:rsidRPr="00DA60BA" w:rsidRDefault="004E0371" w:rsidP="004E0371">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Ministerstwo Finansów</w:t>
            </w:r>
          </w:p>
          <w:p w14:paraId="23C6F3D3" w14:textId="77777777" w:rsidR="004E0371" w:rsidRPr="00DA60BA" w:rsidRDefault="004E0371" w:rsidP="004E0371">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Ministerstwo Spraw Wewnętrznych i Administracji</w:t>
            </w:r>
          </w:p>
          <w:p w14:paraId="2284B3F4" w14:textId="77777777" w:rsidR="00DA60BA" w:rsidRPr="00DA60BA" w:rsidRDefault="00DA60BA" w:rsidP="00DA60BA">
            <w:pPr>
              <w:spacing w:before="120" w:after="0" w:line="240" w:lineRule="auto"/>
              <w:ind w:hanging="45"/>
              <w:jc w:val="both"/>
              <w:rPr>
                <w:rFonts w:ascii="Times New Roman" w:eastAsia="Calibri" w:hAnsi="Times New Roman" w:cs="Times New Roman"/>
                <w:b/>
                <w:sz w:val="21"/>
                <w:szCs w:val="21"/>
              </w:rPr>
            </w:pPr>
            <w:r w:rsidRPr="00DA60BA">
              <w:rPr>
                <w:rFonts w:ascii="Times New Roman" w:eastAsia="Calibri" w:hAnsi="Times New Roman" w:cs="Times New Roman"/>
                <w:b/>
                <w:color w:val="000000"/>
                <w:sz w:val="21"/>
              </w:rPr>
              <w:t>Osoba odpowiedzialna za projekt w randze Ministra, Sekretarza Stanu lub Podsekretarza Stanu</w:t>
            </w:r>
            <w:r w:rsidRPr="00DA60BA">
              <w:rPr>
                <w:rFonts w:ascii="Times New Roman" w:eastAsia="Calibri" w:hAnsi="Times New Roman" w:cs="Times New Roman"/>
                <w:b/>
                <w:sz w:val="21"/>
                <w:szCs w:val="21"/>
              </w:rPr>
              <w:t xml:space="preserve"> </w:t>
            </w:r>
          </w:p>
          <w:p w14:paraId="57F86A5C" w14:textId="77777777" w:rsidR="00DA60BA" w:rsidRPr="00DA60BA" w:rsidRDefault="00DA60BA" w:rsidP="00DA60BA">
            <w:pPr>
              <w:spacing w:after="0" w:line="240" w:lineRule="auto"/>
              <w:jc w:val="both"/>
              <w:rPr>
                <w:rFonts w:ascii="Times New Roman" w:eastAsia="Calibri" w:hAnsi="Times New Roman" w:cs="Times New Roman"/>
                <w:sz w:val="21"/>
                <w:szCs w:val="21"/>
              </w:rPr>
            </w:pPr>
            <w:r w:rsidRPr="00DA60BA">
              <w:rPr>
                <w:rFonts w:ascii="Times New Roman" w:eastAsia="Calibri" w:hAnsi="Times New Roman" w:cs="Times New Roman"/>
                <w:sz w:val="21"/>
                <w:szCs w:val="21"/>
              </w:rPr>
              <w:t>Karol Okoński, Sekretarz Stanu w Ministerstwie Cyfryzacji</w:t>
            </w:r>
          </w:p>
          <w:p w14:paraId="701539A4" w14:textId="77777777" w:rsidR="00DA60BA" w:rsidRPr="00DA60BA" w:rsidRDefault="00DA60BA" w:rsidP="00DA60BA">
            <w:pPr>
              <w:spacing w:before="120" w:after="0" w:line="240" w:lineRule="auto"/>
              <w:ind w:hanging="45"/>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Kontakt do opiekuna merytorycznego projektu</w:t>
            </w:r>
          </w:p>
          <w:p w14:paraId="795129D5" w14:textId="77777777" w:rsidR="00DA60BA" w:rsidRPr="00DA60BA" w:rsidRDefault="00DA60BA" w:rsidP="00DA60BA">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 xml:space="preserve">Joanna Baranowska - Zastępca Dyrektora Departamentu Systemów Państwowych w Ministerstwie Cyfryzacji, </w:t>
            </w:r>
          </w:p>
          <w:p w14:paraId="39BEC7E4" w14:textId="77777777" w:rsidR="00DA60BA" w:rsidRPr="00DA60BA" w:rsidRDefault="00DA60BA" w:rsidP="00DA60BA">
            <w:pPr>
              <w:spacing w:after="0" w:line="240" w:lineRule="auto"/>
              <w:ind w:hanging="34"/>
              <w:jc w:val="both"/>
              <w:rPr>
                <w:rFonts w:ascii="Times New Roman" w:eastAsia="Calibri" w:hAnsi="Times New Roman" w:cs="Times New Roman"/>
                <w:color w:val="000000"/>
                <w:sz w:val="21"/>
                <w:lang w:val="en-GB"/>
              </w:rPr>
            </w:pPr>
            <w:r w:rsidRPr="00DA60BA">
              <w:rPr>
                <w:rFonts w:ascii="Times New Roman" w:eastAsia="Calibri" w:hAnsi="Times New Roman" w:cs="Times New Roman"/>
                <w:color w:val="000000"/>
                <w:sz w:val="21"/>
                <w:lang w:val="en-GB"/>
              </w:rPr>
              <w:t>tel. 22 245-55-21, e-mail: joanna.baranowska@mc.gov.pl</w:t>
            </w:r>
          </w:p>
        </w:tc>
        <w:tc>
          <w:tcPr>
            <w:tcW w:w="1946" w:type="pct"/>
            <w:gridSpan w:val="10"/>
            <w:shd w:val="clear" w:color="auto" w:fill="FFFFFF"/>
          </w:tcPr>
          <w:p w14:paraId="670744E0" w14:textId="77777777" w:rsidR="00DA60BA" w:rsidRPr="00DA60BA" w:rsidRDefault="00DA60BA" w:rsidP="00DA60BA">
            <w:pPr>
              <w:spacing w:after="0" w:line="240" w:lineRule="auto"/>
              <w:rPr>
                <w:rFonts w:ascii="Times New Roman" w:eastAsia="Calibri" w:hAnsi="Times New Roman" w:cs="Times New Roman"/>
                <w:b/>
                <w:sz w:val="21"/>
                <w:szCs w:val="21"/>
              </w:rPr>
            </w:pPr>
            <w:r w:rsidRPr="00DA60BA">
              <w:rPr>
                <w:rFonts w:ascii="Times New Roman" w:eastAsia="Calibri" w:hAnsi="Times New Roman" w:cs="Times New Roman"/>
                <w:b/>
                <w:sz w:val="21"/>
                <w:szCs w:val="21"/>
              </w:rPr>
              <w:t>Data sporządzenia</w:t>
            </w:r>
            <w:r w:rsidRPr="00DA60BA">
              <w:rPr>
                <w:rFonts w:ascii="Times New Roman" w:eastAsia="Calibri" w:hAnsi="Times New Roman" w:cs="Times New Roman"/>
                <w:b/>
                <w:sz w:val="21"/>
                <w:szCs w:val="21"/>
              </w:rPr>
              <w:br/>
            </w:r>
            <w:sdt>
              <w:sdtPr>
                <w:rPr>
                  <w:rFonts w:ascii="Times New Roman" w:eastAsia="Calibri" w:hAnsi="Times New Roman" w:cs="Times New Roman"/>
                  <w:b/>
                  <w:sz w:val="21"/>
                  <w:szCs w:val="21"/>
                </w:rPr>
                <w:id w:val="1156803106"/>
                <w:placeholder>
                  <w:docPart w:val="1C146A7BD65A4D4ABF4AD7C02A7EBDDA"/>
                </w:placeholder>
                <w:date w:fullDate="2019-07-11T00:00:00Z">
                  <w:dateFormat w:val="dd.MM.yyyy"/>
                  <w:lid w:val="pl-PL"/>
                  <w:storeMappedDataAs w:val="dateTime"/>
                  <w:calendar w:val="gregorian"/>
                </w:date>
              </w:sdtPr>
              <w:sdtContent>
                <w:r w:rsidR="002F6B0A">
                  <w:rPr>
                    <w:rFonts w:ascii="Times New Roman" w:eastAsia="Calibri" w:hAnsi="Times New Roman" w:cs="Times New Roman"/>
                    <w:b/>
                    <w:sz w:val="21"/>
                    <w:szCs w:val="21"/>
                  </w:rPr>
                  <w:t>11.07.2019</w:t>
                </w:r>
              </w:sdtContent>
            </w:sdt>
          </w:p>
          <w:p w14:paraId="1CEA376B" w14:textId="77777777" w:rsidR="00DA60BA" w:rsidRPr="00DA60BA" w:rsidRDefault="00DA60BA" w:rsidP="00DA60BA">
            <w:pPr>
              <w:spacing w:after="0" w:line="240" w:lineRule="auto"/>
              <w:jc w:val="both"/>
              <w:rPr>
                <w:rFonts w:ascii="Times New Roman" w:eastAsia="Calibri" w:hAnsi="Times New Roman" w:cs="Times New Roman"/>
                <w:b/>
                <w:sz w:val="21"/>
              </w:rPr>
            </w:pPr>
          </w:p>
          <w:p w14:paraId="605CC8E1" w14:textId="77777777" w:rsidR="00DA60BA" w:rsidRPr="00DA60BA" w:rsidRDefault="00DA60BA" w:rsidP="00DA60BA">
            <w:pPr>
              <w:spacing w:after="0" w:line="240" w:lineRule="auto"/>
              <w:jc w:val="both"/>
              <w:rPr>
                <w:rFonts w:ascii="Times New Roman" w:eastAsia="Calibri" w:hAnsi="Times New Roman" w:cs="Times New Roman"/>
                <w:b/>
                <w:sz w:val="21"/>
              </w:rPr>
            </w:pPr>
            <w:r w:rsidRPr="00DA60BA">
              <w:rPr>
                <w:rFonts w:ascii="Times New Roman" w:eastAsia="Calibri" w:hAnsi="Times New Roman" w:cs="Times New Roman"/>
                <w:b/>
                <w:sz w:val="21"/>
              </w:rPr>
              <w:t xml:space="preserve">Źródło: </w:t>
            </w:r>
            <w:bookmarkStart w:id="45" w:name="Lista1"/>
          </w:p>
          <w:bookmarkEnd w:id="45" w:displacedByCustomXml="next"/>
          <w:sdt>
            <w:sdtPr>
              <w:rPr>
                <w:rFonts w:ascii="Times New Roman" w:eastAsia="Calibri" w:hAnsi="Times New Roman" w:cs="Times New Roman"/>
                <w:sz w:val="21"/>
              </w:rPr>
              <w:id w:val="-1451614635"/>
              <w:placeholder>
                <w:docPart w:val="6C918710286B49D3A95349164B50FD5E"/>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Content>
              <w:p w14:paraId="629344BD" w14:textId="77777777" w:rsidR="00DA60BA" w:rsidRPr="00DA60BA" w:rsidRDefault="004E0371" w:rsidP="00DA60BA">
                <w:pPr>
                  <w:spacing w:after="0" w:line="240" w:lineRule="auto"/>
                  <w:jc w:val="both"/>
                  <w:rPr>
                    <w:rFonts w:ascii="Times New Roman" w:eastAsia="Calibri" w:hAnsi="Times New Roman" w:cs="Times New Roman"/>
                    <w:sz w:val="21"/>
                  </w:rPr>
                </w:pPr>
                <w:r>
                  <w:rPr>
                    <w:rFonts w:ascii="Times New Roman" w:eastAsia="Calibri" w:hAnsi="Times New Roman" w:cs="Times New Roman"/>
                    <w:sz w:val="21"/>
                  </w:rPr>
                  <w:t>Decyzja PRM/RM</w:t>
                </w:r>
              </w:p>
            </w:sdtContent>
          </w:sdt>
          <w:p w14:paraId="46C1012B" w14:textId="77777777" w:rsidR="00DA60BA" w:rsidRPr="00DA60BA" w:rsidRDefault="00DA60BA" w:rsidP="00DA60BA">
            <w:pPr>
              <w:spacing w:after="0" w:line="240" w:lineRule="auto"/>
              <w:jc w:val="both"/>
              <w:rPr>
                <w:rFonts w:ascii="Times New Roman" w:eastAsia="Calibri" w:hAnsi="Times New Roman" w:cs="Times New Roman"/>
                <w:sz w:val="21"/>
              </w:rPr>
            </w:pPr>
          </w:p>
          <w:p w14:paraId="7556A7C8" w14:textId="77777777" w:rsidR="00DA60BA" w:rsidRPr="00DA60BA" w:rsidRDefault="00DA60BA" w:rsidP="00DA60BA">
            <w:pPr>
              <w:spacing w:after="0" w:line="240" w:lineRule="auto"/>
              <w:jc w:val="both"/>
              <w:rPr>
                <w:rFonts w:ascii="Times New Roman" w:eastAsia="Calibri" w:hAnsi="Times New Roman" w:cs="Times New Roman"/>
                <w:sz w:val="21"/>
              </w:rPr>
            </w:pPr>
          </w:p>
          <w:p w14:paraId="186FA9B5" w14:textId="77777777" w:rsidR="00DA60BA" w:rsidRDefault="004615B6" w:rsidP="004615B6">
            <w:pPr>
              <w:spacing w:before="120" w:after="0" w:line="240" w:lineRule="auto"/>
              <w:jc w:val="both"/>
              <w:rPr>
                <w:rFonts w:ascii="Times New Roman" w:eastAsia="Calibri" w:hAnsi="Times New Roman" w:cs="Times New Roman"/>
                <w:b/>
                <w:color w:val="000000"/>
                <w:sz w:val="21"/>
              </w:rPr>
            </w:pPr>
            <w:r>
              <w:rPr>
                <w:rFonts w:ascii="Times New Roman" w:eastAsia="Calibri" w:hAnsi="Times New Roman" w:cs="Times New Roman"/>
                <w:b/>
                <w:color w:val="000000"/>
                <w:sz w:val="21"/>
              </w:rPr>
              <w:t xml:space="preserve">Nr w wykazie prac </w:t>
            </w:r>
          </w:p>
          <w:p w14:paraId="0ECE3696" w14:textId="77777777" w:rsidR="004615B6" w:rsidRPr="004615B6" w:rsidRDefault="004615B6" w:rsidP="004615B6">
            <w:pPr>
              <w:spacing w:before="120" w:after="0" w:line="240" w:lineRule="auto"/>
              <w:jc w:val="both"/>
              <w:rPr>
                <w:rFonts w:ascii="Times New Roman" w:eastAsia="Calibri" w:hAnsi="Times New Roman" w:cs="Times New Roman"/>
                <w:b/>
                <w:color w:val="000000"/>
                <w:sz w:val="21"/>
              </w:rPr>
            </w:pPr>
            <w:r>
              <w:rPr>
                <w:rFonts w:ascii="Times New Roman" w:eastAsia="Calibri" w:hAnsi="Times New Roman" w:cs="Times New Roman"/>
                <w:b/>
                <w:color w:val="000000"/>
                <w:sz w:val="21"/>
              </w:rPr>
              <w:t>ID232</w:t>
            </w:r>
          </w:p>
          <w:p w14:paraId="1810C3F4" w14:textId="77777777" w:rsidR="00DA60BA" w:rsidRPr="00DA60BA" w:rsidRDefault="00DA60BA" w:rsidP="00DA60BA">
            <w:pPr>
              <w:spacing w:after="0" w:line="240" w:lineRule="auto"/>
              <w:jc w:val="both"/>
              <w:rPr>
                <w:rFonts w:ascii="Times New Roman" w:eastAsia="Calibri" w:hAnsi="Times New Roman" w:cs="Times New Roman"/>
                <w:color w:val="000000"/>
                <w:sz w:val="28"/>
                <w:szCs w:val="28"/>
              </w:rPr>
            </w:pPr>
          </w:p>
        </w:tc>
      </w:tr>
      <w:tr w:rsidR="00DA60BA" w:rsidRPr="00DA60BA" w14:paraId="4A5D71BF" w14:textId="77777777" w:rsidTr="002F6B0A">
        <w:trPr>
          <w:trHeight w:val="142"/>
        </w:trPr>
        <w:tc>
          <w:tcPr>
            <w:tcW w:w="5000" w:type="pct"/>
            <w:gridSpan w:val="27"/>
            <w:shd w:val="clear" w:color="auto" w:fill="99CCFF"/>
          </w:tcPr>
          <w:p w14:paraId="1034884B" w14:textId="77777777" w:rsidR="00DA60BA" w:rsidRPr="00DA60BA" w:rsidRDefault="00DA60BA" w:rsidP="00DA60BA">
            <w:pPr>
              <w:spacing w:after="0" w:line="240" w:lineRule="auto"/>
              <w:ind w:left="57"/>
              <w:jc w:val="center"/>
              <w:rPr>
                <w:rFonts w:ascii="Times New Roman" w:eastAsia="Calibri" w:hAnsi="Times New Roman" w:cs="Times New Roman"/>
                <w:b/>
                <w:color w:val="FFFFFF"/>
                <w:sz w:val="32"/>
                <w:szCs w:val="32"/>
              </w:rPr>
            </w:pPr>
            <w:r w:rsidRPr="00DA60BA">
              <w:rPr>
                <w:rFonts w:ascii="Times New Roman" w:eastAsia="Calibri" w:hAnsi="Times New Roman" w:cs="Times New Roman"/>
                <w:b/>
                <w:color w:val="FFFFFF"/>
                <w:sz w:val="32"/>
                <w:szCs w:val="32"/>
              </w:rPr>
              <w:t>OCENA SKUTKÓW REGULACJI</w:t>
            </w:r>
          </w:p>
        </w:tc>
      </w:tr>
      <w:tr w:rsidR="00DA60BA" w:rsidRPr="00DA60BA" w14:paraId="5284F29C" w14:textId="77777777" w:rsidTr="002F6B0A">
        <w:trPr>
          <w:trHeight w:val="333"/>
        </w:trPr>
        <w:tc>
          <w:tcPr>
            <w:tcW w:w="5000" w:type="pct"/>
            <w:gridSpan w:val="27"/>
            <w:shd w:val="clear" w:color="auto" w:fill="99CCFF"/>
            <w:vAlign w:val="center"/>
          </w:tcPr>
          <w:p w14:paraId="7DE197AE"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sz w:val="21"/>
              </w:rPr>
              <w:t>Jaki problem jest rozwiązywany?</w:t>
            </w:r>
            <w:bookmarkStart w:id="46" w:name="Wybór1"/>
            <w:bookmarkEnd w:id="46"/>
          </w:p>
        </w:tc>
      </w:tr>
      <w:tr w:rsidR="00DA60BA" w:rsidRPr="00DA60BA" w14:paraId="7EF9E36D" w14:textId="77777777" w:rsidTr="002F6B0A">
        <w:trPr>
          <w:trHeight w:val="142"/>
        </w:trPr>
        <w:tc>
          <w:tcPr>
            <w:tcW w:w="5000" w:type="pct"/>
            <w:gridSpan w:val="27"/>
            <w:shd w:val="clear" w:color="auto" w:fill="FFFFFF"/>
          </w:tcPr>
          <w:p w14:paraId="515C2303"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Dynamika procesu transformacji cyfrowej administracji publicznej w Polsce, który przebiega stopniowo od kilkudziesięciu lat, jest nadal stosunkowo niska. Czas potrzebny na wdrożenie i ustabilizowanie rozwiązań informatycznych jest długi, zaś koszty wdrożeń i utrzymania infrastruktury rosną. Tymczasem aktualne trendy technologiczne i rynkowe zmierzają w kierunku świadczenia wysoce dostępnych i wydajnych usług realizowanych w modelu chmury obliczeniowej, które pozwalają na skokowy wzrost wydajności systemów informatycznych, przy jednoczesnej optymalizacji kosztów utrzymania oraz prowadzenia rozliczeń w oparciu o ich faktyczne wykorzystanie.</w:t>
            </w:r>
          </w:p>
          <w:p w14:paraId="56B809D9"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Jednostki administracji publicznej stoją przed pilną potrzebą podniesienia poziomu bezpieczeństwa przetwarzanych danych, wynikającą z rosnącej ilości i złożoności zagrożeń w obszarze cyberbezpieczeństwa. Jednocześnie wzrost kosztów utrzymania infrastruktury IT jednostek administracji publicznej wymaga ciągłej optymalizacji. Obecnie większość urzędów zapewnia infrastrukturę przetwarzania danych oraz dba o jej bezpieczeństwo we własnym zakresie. Takie podejście wiąże się z szeregiem problemów, m.in.:</w:t>
            </w:r>
          </w:p>
          <w:p w14:paraId="6D5EA8EA"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powszechnym brakiem planów awaryjnych i centrów zapasowych, ochrony fizycznej, niedostatkami kompetencji i infrastruktury cyberbezpieczeństwa,</w:t>
            </w:r>
          </w:p>
          <w:p w14:paraId="6383061A"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wysokimi kosztami przetwarzania danych mimo stosunkowo niskich parametrów funkcjonalnych i poziomu bezpieczeństwa,</w:t>
            </w:r>
          </w:p>
          <w:p w14:paraId="348DFF45"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długim czasem dostarczania infrastruktury IT dla projektów, nierzadko przekraczającym rok,</w:t>
            </w:r>
          </w:p>
          <w:p w14:paraId="4686BC27"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inwestycjami w infrastrukturę charakteryzującymi się brakiem optymalizacji (przeskalowane, niedopasowane do rzeczywistych potrzeb),</w:t>
            </w:r>
          </w:p>
          <w:p w14:paraId="39ED05F3"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rozproszonymi i źle zarządzanymi rezerwami mocy i przestrzeni dyskowych, powodującymi niski stopień wykorzystania sprzętu,</w:t>
            </w:r>
          </w:p>
          <w:p w14:paraId="550A16B0"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nieuzasadnionym wzrostem kosztów związanych z kolejnymi, nieskoordynowanymi zakupami infrastruktury na potrzeby nowych projektów (brak spójnej polityki zarządzania i planowania),</w:t>
            </w:r>
          </w:p>
          <w:p w14:paraId="7F154EDA"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nieefektywnym zarządzaniem infrastrukturą teleinformatyczną państwa, wynikającym z rozproszonej pomiędzy różne jednostki odpowiedzialności za zarządzanie oraz powielaniem funkcjonalności (brak koordynacji, ram organizacyjnych i prawnych do współdzielenia),</w:t>
            </w:r>
          </w:p>
          <w:p w14:paraId="6F7EF721"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zdefiniowanych spójnych zasad postępowania, standardów wykorzystania i utylizacji zużytego, przestarzałego technologicznie sprzętu komputerowego, nośników danych, ich przechowywania i ochrony,</w:t>
            </w:r>
          </w:p>
          <w:p w14:paraId="74DBA997"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interoperacyjności systemów, która może mieć negatywny wpływ na realizację e-usług, zarówno istniejących, jak i nowo tworzonych w ramach projektów,</w:t>
            </w:r>
          </w:p>
          <w:p w14:paraId="2A0608C2"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spójnej informacji o infrastrukturze informatycznej funkcjonującej w państwie,</w:t>
            </w:r>
          </w:p>
          <w:p w14:paraId="448ABA8A"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rozmyciem odpowiedzialności oraz obniżeniem poziomu bezpieczeństwa funkcjonowania podmiotów państwowych oraz danych i usług w nich funkcjonujących,</w:t>
            </w:r>
          </w:p>
          <w:p w14:paraId="19232597" w14:textId="77777777" w:rsidR="00DA60BA" w:rsidRPr="00DA60BA" w:rsidRDefault="00DA60BA" w:rsidP="00011790">
            <w:pPr>
              <w:numPr>
                <w:ilvl w:val="0"/>
                <w:numId w:val="12"/>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ustandaryzowania elementu własności autorskiej wykorzystywanego oprogramowania oraz utrzymania systemów teleinformatycznych administracji rządowej.</w:t>
            </w:r>
          </w:p>
          <w:p w14:paraId="7465C315"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Powyższe ustalenia powstały na bazie doświadczeń zgromadzonych w toku konsultacji i spotkań organizowanych przez Ministerstwo Cyfryzacji z przedstawicielami jednostek administracji publicznej różnego szczebla oraz informacji przekazywanych w ramach prowadzonych cyklicznie badań ankietowych, realizowanych za pośrednictwem Systemu Inwentaryzacji Systemów Teleinformatycznych (SIST).</w:t>
            </w:r>
          </w:p>
        </w:tc>
      </w:tr>
      <w:tr w:rsidR="00DA60BA" w:rsidRPr="00DA60BA" w14:paraId="5C721840" w14:textId="77777777" w:rsidTr="002F6B0A">
        <w:trPr>
          <w:trHeight w:val="142"/>
        </w:trPr>
        <w:tc>
          <w:tcPr>
            <w:tcW w:w="5000" w:type="pct"/>
            <w:gridSpan w:val="27"/>
            <w:shd w:val="clear" w:color="auto" w:fill="99CCFF"/>
            <w:vAlign w:val="center"/>
          </w:tcPr>
          <w:p w14:paraId="5396D4E4"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pacing w:val="-2"/>
                <w:sz w:val="21"/>
              </w:rPr>
              <w:lastRenderedPageBreak/>
              <w:t>Rekomendowane rozwiązanie, w tym planowane narzędzia interwencji i oczekiwany efekt</w:t>
            </w:r>
          </w:p>
        </w:tc>
      </w:tr>
      <w:tr w:rsidR="00DA60BA" w:rsidRPr="00DA60BA" w14:paraId="4BE65EFF" w14:textId="77777777" w:rsidTr="002F6B0A">
        <w:trPr>
          <w:trHeight w:val="142"/>
        </w:trPr>
        <w:tc>
          <w:tcPr>
            <w:tcW w:w="5000" w:type="pct"/>
            <w:gridSpan w:val="27"/>
            <w:shd w:val="clear" w:color="auto" w:fill="auto"/>
          </w:tcPr>
          <w:p w14:paraId="20193EE5"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Inicjatywa „Wspólna Infrastruktura Informatyczna Państwa” (WIIP) stanowi zespół działań zarządczych i projektowych prowadzący do zapewnienia bezpiecznej i optymalnej kosztowo infrastruktury przetwarzania systemów IT administracji publicznej w modelu gospodarki współdzielenia. Główne działania realizowane będą w trzech obszarach: zapewnieniu bezpiecznej </w:t>
            </w:r>
            <w:r w:rsidR="00E66602">
              <w:rPr>
                <w:rFonts w:ascii="Times New Roman" w:eastAsia="Calibri" w:hAnsi="Times New Roman" w:cs="Times New Roman"/>
                <w:sz w:val="21"/>
              </w:rPr>
              <w:t xml:space="preserve">dedykowanej </w:t>
            </w:r>
            <w:r w:rsidRPr="00DA60BA">
              <w:rPr>
                <w:rFonts w:ascii="Times New Roman" w:eastAsia="Calibri" w:hAnsi="Times New Roman" w:cs="Times New Roman"/>
                <w:sz w:val="21"/>
              </w:rPr>
              <w:t>sieci łączącej rządowe ośrodki przetwarzania danych i siedziby urzędów (Rządowy Klaster Bezpieczeństwa – RKB), udostępnieniu usług infrastrukturalnych IT w modelu chmury obliczeniowej w ramach Chmury Rządowej (prywatnej chmury obliczeniowej administracji publicznej) oraz wdrożenia Systemu Zamawiania Usług Chmurowych, który pozwoli na dostęp do usług Rządowej Chmury Obliczeniowej oraz zamówienie usług chmury publicznej, dostarczanych przez dostawców komercyjnych. Projekt dostarczy rozwiązanie ponadsektorowe, dostępne dla odbiorców z obszaru administracji rządowej oraz w przypadku usług chmury publicznej, dla wszystkich jednostek administracji.</w:t>
            </w:r>
          </w:p>
          <w:p w14:paraId="038EA366"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Zgodnie z założeniem WIIP w każdym z powyższych obszarów powstawać będą w iteracyjny sposób kolejne wydania. W kontekście bezpieczeństwa kolejne wydania oznaczają wyższy standard bezpieczeństwa (RKB), a w przypadku usług – coraz bogatszy katalog usług. </w:t>
            </w:r>
          </w:p>
          <w:p w14:paraId="121F291E"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Koncepcja WIIP zakłada wielostopniowe zabezpieczenie systemów teleinformatycznych podmiotów uczestniczących w WIIP przed zagrożeniami pochodzącymi z sieci publicznej. Uporządkowany i zorganizowany dostęp do ogólnodostępnej sieci Internet daje możliwość ochrony istotnych danych i serwisów rządowych przed atakami. Rozwiązanie takie nie eliminuje zagrożeń, jednak znacznie ogranicza potencjalne skutki ich materializacji oraz pozwala na koncentrację sił i środków dla zapewnienia bezpieczeństwa. </w:t>
            </w:r>
          </w:p>
          <w:p w14:paraId="50792C0E"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Wykorzystanie chmury obliczeniowej, jako docelowego środowiska informatycznego dla administracji publicznej umożliwi proaktywne świadczenie nowoczesnych usług informatycznych w odróżnieniu od dotychczasowego, reaktywnego modelu świadczenia usług IT. </w:t>
            </w:r>
          </w:p>
          <w:p w14:paraId="539BEBDA"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Koncepcja realizacji WIIP w obszarze usług infrastrukturalnych zakłada zbudowanie środowiska chmury obliczeniowej w oparciu o istniejące centra danych i zaawansowane metody zapewnienia bezpieczeństwa. Katalog usług będzie poszerzany w ramach kolejnych wydań. W pierwszym etapie realizacji planowane jest udostępnianie usług infrastrukturalnych w modelu IaaS (Infrastructure as a Service). W późniejszych fazach realizacji pojawią się również usługi świadczone w modelu PaaS (Platform as a Service), a docelowo również SaaS (Software as a Service). </w:t>
            </w:r>
          </w:p>
          <w:p w14:paraId="1FB3F113"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Realizacja usług powiązana jest z wykorzystywaniem oprogramowania systemów operacyjnych i aplikacji, co wymusza podpisanie nowych, ramowych umów z dostawcami oprogramowania. Z punktu widzenia dostawców oprogramowania komercyjnego, administracja państwowa powinna być postrzegana, jako pojedyncza organizacja. Dzięki temu uzyska ona najlepsze warunki cenowe (ze względu na bardzo duży wolumen sprzedaży) oraz będzie mogła uzgodnić najdogodniejsze i adekwatne dla administracji warunki licencyjne, pozwalające na reużycie i płacenie za rzeczywiste wykorzystanie.</w:t>
            </w:r>
          </w:p>
          <w:p w14:paraId="55342870" w14:textId="77777777" w:rsidR="00DA60BA" w:rsidRPr="00DA60BA" w:rsidRDefault="00DA60BA" w:rsidP="00DA60BA">
            <w:pPr>
              <w:spacing w:after="0" w:line="276" w:lineRule="auto"/>
              <w:jc w:val="both"/>
              <w:rPr>
                <w:rFonts w:ascii="Times New Roman" w:eastAsia="Calibri" w:hAnsi="Times New Roman" w:cs="Times New Roman"/>
                <w:color w:val="FF0000"/>
                <w:spacing w:val="-2"/>
                <w:sz w:val="21"/>
              </w:rPr>
            </w:pPr>
            <w:r w:rsidRPr="00DA60BA">
              <w:rPr>
                <w:rFonts w:ascii="Times New Roman" w:eastAsia="Calibri" w:hAnsi="Times New Roman" w:cs="Times New Roman"/>
                <w:sz w:val="21"/>
              </w:rPr>
              <w:t>Wykorzystywanie Internetu, jako efektywnego medium dostępowego do witryn administracji państwowej, poza potrzebą zapewnienia ich dostępności na określonym poziomie, wymusza konieczność stosowania skutecznych technologii zapewniających bezpieczeństwo, w tym integralność publikowanych informacji. W związku z tym administracja publiczna musi zmienić sposób patrzenia na architekturę swoich sieci, aby zmaksymalizować ich efektywność i skalowalność. Ważnym elementem funkcjonalności usługowej WIIP będzie możliwość zapewnienia niezakłóconej komunikacji pomiędzy instytucjami (jednostkami organizacyjnymi) uczestniczącymi w projekcie nawet w sytuacjach wystąpienia ataków na dużą skalę w publicznym Internecie.</w:t>
            </w:r>
          </w:p>
          <w:p w14:paraId="4D0035EA" w14:textId="77777777" w:rsidR="00DA60BA" w:rsidRPr="00DA60BA" w:rsidRDefault="00DA60BA" w:rsidP="00DA60BA">
            <w:pPr>
              <w:spacing w:after="0" w:line="276"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 xml:space="preserve">Projekt uchwały zobowiązuje Radę Ministrów do tworzenia warunków umożliwiających współpracę instytucjom rządowym: </w:t>
            </w:r>
          </w:p>
          <w:p w14:paraId="1C213B0F" w14:textId="77777777" w:rsidR="00DA60BA" w:rsidRPr="00DA60BA" w:rsidRDefault="00DA60BA" w:rsidP="00011790">
            <w:pPr>
              <w:numPr>
                <w:ilvl w:val="0"/>
                <w:numId w:val="1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optymalne wykorzystanie istniejących zasobów kosztownej infrastruktury przetwarzania (budynki serwerowni, poszycie sieciowe),</w:t>
            </w:r>
          </w:p>
          <w:p w14:paraId="41E37B40" w14:textId="77777777" w:rsidR="00DA60BA" w:rsidRPr="00DA60BA" w:rsidRDefault="00DA60BA" w:rsidP="00011790">
            <w:pPr>
              <w:numPr>
                <w:ilvl w:val="0"/>
                <w:numId w:val="1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racjonalnego w skali państwa umiejscowienia zasobów przy jednoczesnej optymalnej kosztowo odpowiedzi na potrzeby związane z infrastrukturą przetwarzania danych,</w:t>
            </w:r>
          </w:p>
          <w:p w14:paraId="4EFC270F" w14:textId="77777777" w:rsidR="00DA60BA" w:rsidRPr="00DA60BA" w:rsidRDefault="00DA60BA" w:rsidP="00011790">
            <w:pPr>
              <w:numPr>
                <w:ilvl w:val="0"/>
                <w:numId w:val="1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lepszego wykorzystania efektów synergii, także związanych z posiadanymi kompetencjami IT w poszczególnych jednostkach.</w:t>
            </w:r>
          </w:p>
          <w:p w14:paraId="3A733800"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Realizacja Inicjatywy WIIP przyniesie następujące efekty:</w:t>
            </w:r>
          </w:p>
          <w:p w14:paraId="713831C3"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lastRenderedPageBreak/>
              <w:t>Podniesienie bezpieczeństwa przetwarzania danych w państwie w sposób optymalny kosztowo (wielokrotnie taniej niż potencjalny koszt podniesienia bezpieczeństwa w obecnym stanie rozproszenia CPD),</w:t>
            </w:r>
          </w:p>
          <w:p w14:paraId="13D9F6E9"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Systematyczne obniżanie kosztu stałego przetwarzania danych w państwie – od drugiego roku realizacji WIIP wynikające z migracji i wyłączania nieefektywnych ośrodków przetwarzania,</w:t>
            </w:r>
          </w:p>
          <w:p w14:paraId="2BE1FFDE"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Racjonalizacja nakładów na infrastrukturę w nowych projektach – co najmniej dwukrotne obniżenie nakładów na infrastrukturę przy zachowaniu funkcjonalności, skróceniu czasu i podniesieniu bezpieczeństwa - od pierwszego roku projektu,</w:t>
            </w:r>
          </w:p>
          <w:p w14:paraId="1821BC78"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Optymalne wykorzystanie sprzętu, zasobów materialnych i niematerialnych, ludzkich i finansowych,</w:t>
            </w:r>
          </w:p>
          <w:p w14:paraId="614812BF"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Standaryzacja usług infrastrukturalnych, oraz optymalizacja procesów utrzymania,</w:t>
            </w:r>
          </w:p>
          <w:p w14:paraId="25040A59"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Efekt skali, który przyczyni się do obniżenia kosztów wytworzenia i utrzymania rozwiązań informatycznych oraz infrastruktury IT,</w:t>
            </w:r>
          </w:p>
          <w:p w14:paraId="270DAD75"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Niskobudżetowe (kilkakrotnie tańsze wobec realizacji wyspowej) zapewnienie mocy obliczeniowej i przestrzeni na dane w bezpiecznym środowisku,  </w:t>
            </w:r>
          </w:p>
          <w:p w14:paraId="52C43306" w14:textId="77777777" w:rsidR="00DA60BA" w:rsidRPr="00DA60BA" w:rsidRDefault="00DA60BA" w:rsidP="00011790">
            <w:pPr>
              <w:numPr>
                <w:ilvl w:val="0"/>
                <w:numId w:val="13"/>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Znaczna redukcja deficytu kadr i kompetencji związanych z cyberbezpieczeństwem i administracją infrastruktury poprzez konsolidację zarządzania i wykorzystanie efektu odmiejscowienia infrastruktury i możliwości tworzenia zespołów rozproszonych.</w:t>
            </w:r>
          </w:p>
        </w:tc>
      </w:tr>
      <w:tr w:rsidR="00DA60BA" w:rsidRPr="00DA60BA" w14:paraId="5DD05DCF" w14:textId="77777777" w:rsidTr="002F6B0A">
        <w:trPr>
          <w:trHeight w:val="307"/>
        </w:trPr>
        <w:tc>
          <w:tcPr>
            <w:tcW w:w="5000" w:type="pct"/>
            <w:gridSpan w:val="27"/>
            <w:shd w:val="clear" w:color="auto" w:fill="99CCFF"/>
            <w:vAlign w:val="center"/>
          </w:tcPr>
          <w:p w14:paraId="5FD7331A"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spacing w:val="-2"/>
                <w:sz w:val="21"/>
              </w:rPr>
              <w:lastRenderedPageBreak/>
              <w:t>Jak problem został rozwiązany w innych krajach, w szczególności krajach członkowskich OECD/UE</w:t>
            </w:r>
            <w:r w:rsidRPr="00DA60BA">
              <w:rPr>
                <w:rFonts w:ascii="Times New Roman" w:eastAsia="Calibri" w:hAnsi="Times New Roman" w:cs="Times New Roman"/>
                <w:b/>
                <w:color w:val="000000"/>
                <w:sz w:val="21"/>
              </w:rPr>
              <w:t>?</w:t>
            </w:r>
            <w:r w:rsidRPr="00DA60BA">
              <w:rPr>
                <w:rFonts w:ascii="Times New Roman" w:eastAsia="Calibri" w:hAnsi="Times New Roman" w:cs="Times New Roman"/>
                <w:i/>
                <w:color w:val="000000"/>
                <w:sz w:val="21"/>
              </w:rPr>
              <w:t xml:space="preserve"> </w:t>
            </w:r>
          </w:p>
        </w:tc>
      </w:tr>
      <w:tr w:rsidR="00DA60BA" w:rsidRPr="00DA60BA" w14:paraId="16AD0866" w14:textId="77777777" w:rsidTr="002F6B0A">
        <w:trPr>
          <w:trHeight w:val="142"/>
        </w:trPr>
        <w:tc>
          <w:tcPr>
            <w:tcW w:w="5000" w:type="pct"/>
            <w:gridSpan w:val="27"/>
            <w:shd w:val="clear" w:color="auto" w:fill="auto"/>
          </w:tcPr>
          <w:p w14:paraId="1DABC796"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Rozwiązania chmury obliczeniowej dla administracji publicznej zostały wdrożone w takich państwach jak: Estonia, Niemcy, Francja czy Wielka Brytania. Poniżej przedstawiono najważniejsze z nich.</w:t>
            </w:r>
          </w:p>
          <w:p w14:paraId="621482DB" w14:textId="77777777" w:rsidR="00DA60BA" w:rsidRPr="00DA60BA" w:rsidRDefault="00DA60BA" w:rsidP="00DA60BA">
            <w:pPr>
              <w:spacing w:after="0" w:line="276" w:lineRule="auto"/>
              <w:jc w:val="both"/>
              <w:rPr>
                <w:rFonts w:ascii="Times New Roman" w:eastAsia="Calibri" w:hAnsi="Times New Roman" w:cs="Times New Roman"/>
                <w:sz w:val="21"/>
              </w:rPr>
            </w:pPr>
          </w:p>
          <w:p w14:paraId="47ED02B2"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Estonia</w:t>
            </w:r>
          </w:p>
          <w:p w14:paraId="6A8D3928"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Estonia jest jednym liderów nowoczesnych technologii w administracji publicznej na świecie. Jednym z najważniejszych elementów, stanowiących podstawę estońskiego systemu e-administracji jest uruchomione w 2001 r. rozwiązanie X-Road. Narzędzie to łączy usługi oraz bazy danych w sektorze publicznym i prywatnym, umożliwiając ich integrację na potrzeby świadczenia usług dostępnych w ramach portalu e-Estonia. Szacuje się, że 50% mieszkańców Estonii korzysta obecnie z X-Road poprzez portal eesti.ee.</w:t>
            </w:r>
          </w:p>
          <w:p w14:paraId="46D6B335"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Odpowiednikiem tego rozwiązania jest brytyjski Government Secure Intranet (GSI).</w:t>
            </w:r>
          </w:p>
          <w:p w14:paraId="35A5E5E0" w14:textId="77777777" w:rsidR="00DA60BA" w:rsidRPr="00DA60BA" w:rsidRDefault="00DA60BA" w:rsidP="00DA60BA">
            <w:pPr>
              <w:spacing w:after="0" w:line="276" w:lineRule="auto"/>
              <w:jc w:val="both"/>
              <w:rPr>
                <w:rFonts w:ascii="Times New Roman" w:eastAsia="Calibri" w:hAnsi="Times New Roman" w:cs="Times New Roman"/>
                <w:sz w:val="21"/>
              </w:rPr>
            </w:pPr>
          </w:p>
          <w:p w14:paraId="38709240"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Wielka Brytania</w:t>
            </w:r>
          </w:p>
          <w:p w14:paraId="51A76CDA"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Wlk. Brytania podjęła w ostatnich latach intensywne działania na rzecz optymalizacji funkcjonowania administracji publicznej, w tym zarządzania infrastrukturą IT. Przejawem tej transformacji w zakresie podejścia do technologii cyfrowej były przyjęte przez rząd wytyczne oraz rozwiązania:</w:t>
            </w:r>
          </w:p>
          <w:p w14:paraId="1F07CB9A" w14:textId="77777777" w:rsidR="00DA60BA" w:rsidRPr="00DA60BA" w:rsidRDefault="00DA60BA" w:rsidP="00011790">
            <w:pPr>
              <w:numPr>
                <w:ilvl w:val="0"/>
                <w:numId w:val="16"/>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Government as a platform – rozwiązanie mające na celu ułatwienie tworzenia rozwiązań informatycznych przez administrację publiczną , oraz</w:t>
            </w:r>
          </w:p>
          <w:p w14:paraId="091A95B6" w14:textId="77777777" w:rsidR="00DA60BA" w:rsidRPr="00DA60BA" w:rsidRDefault="00DA60BA" w:rsidP="00011790">
            <w:pPr>
              <w:numPr>
                <w:ilvl w:val="0"/>
                <w:numId w:val="16"/>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Cloud First – wytyczna przyjęta przez rząd w 2013 roku, mająca na celu zmotywowanie podmiotów administracji publicznej do korzystania z rozwiązań chmurowych, w tym przede wszystkim z chmury publicznej.</w:t>
            </w:r>
          </w:p>
          <w:p w14:paraId="5BEE1486"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Brytyjskie agencje wykonawcze Crown Commercial Service oraz Government Digital Service odpowiadają za wdrożenie modelu G-Cloud, w postaci Digital Marketplace, będącym portalem służącym do realizacji zamówień na usługi, w tym usługi chmurowe, przez jednostki administracji publicznej oraz wybrane jednostki spoza administracji publicznej. Zamówienia te realizowane są w wyniku zawarcia umów ramowych z dostawcami usług. Postępowanie ma transparentny i otwarty charakter, spełniając wymagania przetargu publicznego wg wymagań prawa brytyjskiego.</w:t>
            </w:r>
          </w:p>
          <w:p w14:paraId="5796355D" w14:textId="77777777" w:rsidR="00DA60BA" w:rsidRPr="00DA60BA" w:rsidRDefault="00DA60BA" w:rsidP="00DA60BA">
            <w:pPr>
              <w:spacing w:after="0" w:line="276" w:lineRule="auto"/>
              <w:jc w:val="both"/>
              <w:rPr>
                <w:rFonts w:ascii="Times New Roman" w:eastAsia="Calibri" w:hAnsi="Times New Roman" w:cs="Times New Roman"/>
                <w:sz w:val="21"/>
              </w:rPr>
            </w:pPr>
          </w:p>
          <w:p w14:paraId="388A2513"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Republika Francuska</w:t>
            </w:r>
          </w:p>
          <w:p w14:paraId="26BD2026" w14:textId="24554F19"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Rząd francuski sukcesywnie wprowadza doktrynę państwa w zakresie implementacji chmury obliczeniowej w procesie transformacji cyfrowej działań publicznych. Przedstawiciele administracji zauważają korzyści jakie niesie ze sobą technologia chmury obliczeniowej, tj. skalowalność, ponoszenie kosztów wg rzeczywistego wykorzystania, czy możliwość</w:t>
            </w:r>
            <w:r w:rsidR="000D46E2">
              <w:rPr>
                <w:rFonts w:ascii="Times New Roman" w:eastAsia="Calibri" w:hAnsi="Times New Roman" w:cs="Times New Roman"/>
                <w:sz w:val="21"/>
              </w:rPr>
              <w:t xml:space="preserve"> ponownego </w:t>
            </w:r>
            <w:r w:rsidRPr="00DA60BA">
              <w:rPr>
                <w:rFonts w:ascii="Times New Roman" w:eastAsia="Calibri" w:hAnsi="Times New Roman" w:cs="Times New Roman"/>
                <w:sz w:val="21"/>
              </w:rPr>
              <w:t xml:space="preserve">użycia danych na dużą skalę. Doktryna (wytyczne) pt. „Wykorzystanie chmury w ramach </w:t>
            </w:r>
            <w:r w:rsidRPr="00DA60BA">
              <w:rPr>
                <w:rFonts w:ascii="Times New Roman" w:eastAsia="Calibri" w:hAnsi="Times New Roman" w:cs="Times New Roman"/>
                <w:sz w:val="21"/>
              </w:rPr>
              <w:lastRenderedPageBreak/>
              <w:t>administracji”, opracowana przez Narodową Agencję ds. Bezpieczeństwa Systemów Informatycznych (ANSSI), została zarekomendowana do stosowania w obrębie wszystkich jednostek administracji państwowej Framcji.</w:t>
            </w:r>
          </w:p>
          <w:p w14:paraId="408707E7"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Doktryna dotycząca chmury obliczeniowej państwa ma na celu masowy rozwój wykorzystania tego modelu w obrębie administracji i ostatecznie uczynienie go normą. W tym celu udostępniona zostanie administracji oferta hybrydowa, złożona z trzech grup rozwiązań, do zastosowania w zależności od poziomu i wrażliwości przetwarzania danych, systemów lub aplikacji:</w:t>
            </w:r>
          </w:p>
          <w:p w14:paraId="1747084E" w14:textId="77777777" w:rsidR="00DA60BA" w:rsidRPr="00DA60BA" w:rsidRDefault="00DA60BA" w:rsidP="00011790">
            <w:pPr>
              <w:numPr>
                <w:ilvl w:val="0"/>
                <w:numId w:val="15"/>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Grupa „chmura wewnętrzna”: czerpie korzyści z prac zrealizowanych w ostatnich latach, zmierzających do budowy trzech międzyresortowych forów chmurowych, które stopniowo stają się spójną ofertą "laaS" i "PaaS" opartą na</w:t>
            </w:r>
            <w:r w:rsidR="00A529E0">
              <w:rPr>
                <w:rFonts w:ascii="Times New Roman" w:eastAsia="Calibri" w:hAnsi="Times New Roman" w:cs="Times New Roman"/>
                <w:sz w:val="21"/>
              </w:rPr>
              <w:t xml:space="preserve"> </w:t>
            </w:r>
            <w:r w:rsidRPr="00DA60BA">
              <w:rPr>
                <w:rFonts w:ascii="Times New Roman" w:eastAsia="Calibri" w:hAnsi="Times New Roman" w:cs="Times New Roman"/>
                <w:sz w:val="21"/>
              </w:rPr>
              <w:t>OpenStack, dostępną dla wszystkich ministerstw za pośrednictwem interfejsów upraszczających ich wykorzystanie na dużą skalę. Wszystkie ministerstwa będą mogły wdrażać usługi w trybie "Saas" w oparciu o tę infrastrukturę. Ta grupa będzie uwzględniała wrażliwe dane, procesy i aplikacje oraz specyficzne potrzeby związane z infrastrukturą cyfrową, spełnia wymagania wewnętrzne w zakresie bezpieczeństwa danych i systemów informatycznych.</w:t>
            </w:r>
          </w:p>
          <w:p w14:paraId="1B165495" w14:textId="77777777" w:rsidR="00DA60BA" w:rsidRPr="00DA60BA" w:rsidRDefault="00DA60BA" w:rsidP="00011790">
            <w:pPr>
              <w:numPr>
                <w:ilvl w:val="0"/>
                <w:numId w:val="15"/>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Grupa „chmura dedykowana”: opiera się na standardowej ofercie przetwarzania w chmurze oferowanej przez dostawców komercyjnych i zostanie udostępniona w celu znacznego ograniczenia migracji wraz z pierwszym wdrożeniem „chmury wewnętrznej”. Zostanie ona dostosowana do potrzeb administracji państwowej oraz oparta na dedykowanej infrastrukturze. Dostosowanie obejmować będzie integrację usługi nadzoru ANSSI, a także niektóre elementy platformy France Connect. Ten krąg będzie uwzględniać dane, procesy i aplikacje o niższej wrażliwości, ale wymagające pewnego poziomu bezpieczeństwa.</w:t>
            </w:r>
          </w:p>
          <w:p w14:paraId="42B78D1A" w14:textId="77777777" w:rsidR="00DA60BA" w:rsidRPr="00DA60BA" w:rsidRDefault="00DA60BA" w:rsidP="00011790">
            <w:pPr>
              <w:numPr>
                <w:ilvl w:val="0"/>
                <w:numId w:val="15"/>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Trzecia grupa „chmura zewnętrzna”: zakłada udostępnienie katalogu komercyjnych ofert cloud computing dostępnych publicznie w Internecie (zwłaszcza Saas), przy realizacji procesu zakupowego przez UGAP, w celu jego ułatwienia. Ta grupa ukierunkowana jest na jak największej liczby ofert na usługi przetwarzania danych, procesów i aplikacji, dzięki którym będzie można korzystać z najnowocześniejszych i najlepszych rozwiązań innowacyjnych w tej dziedzinie. Oferta ta będzie musiała spełniać minimalne kryteria oraz warunki funkcjonalności, odtwarzania i bezpieczeństwa oraz podlegać certyfikacji zgodnie z ich charakterystyką, szczególnie pod względem bezpieczeństwa.</w:t>
            </w:r>
          </w:p>
        </w:tc>
      </w:tr>
      <w:tr w:rsidR="00DA60BA" w:rsidRPr="00DA60BA" w14:paraId="1F8B51AF" w14:textId="77777777" w:rsidTr="002F6B0A">
        <w:trPr>
          <w:trHeight w:val="359"/>
        </w:trPr>
        <w:tc>
          <w:tcPr>
            <w:tcW w:w="5000" w:type="pct"/>
            <w:gridSpan w:val="27"/>
            <w:shd w:val="clear" w:color="auto" w:fill="99CCFF"/>
            <w:vAlign w:val="center"/>
          </w:tcPr>
          <w:p w14:paraId="0727DE64"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lastRenderedPageBreak/>
              <w:t>Podmioty, na które oddziałuje projekt</w:t>
            </w:r>
          </w:p>
        </w:tc>
      </w:tr>
      <w:tr w:rsidR="002F6B0A" w:rsidRPr="00DA60BA" w14:paraId="76694CDC" w14:textId="77777777" w:rsidTr="002F6B0A">
        <w:trPr>
          <w:trHeight w:val="142"/>
        </w:trPr>
        <w:tc>
          <w:tcPr>
            <w:tcW w:w="1150" w:type="pct"/>
            <w:gridSpan w:val="4"/>
            <w:shd w:val="clear" w:color="auto" w:fill="auto"/>
          </w:tcPr>
          <w:p w14:paraId="3EC9789F"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Grupa</w:t>
            </w:r>
          </w:p>
        </w:tc>
        <w:tc>
          <w:tcPr>
            <w:tcW w:w="541" w:type="pct"/>
            <w:gridSpan w:val="4"/>
            <w:shd w:val="clear" w:color="auto" w:fill="auto"/>
          </w:tcPr>
          <w:p w14:paraId="522541A1"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Wielkość</w:t>
            </w:r>
          </w:p>
        </w:tc>
        <w:tc>
          <w:tcPr>
            <w:tcW w:w="893" w:type="pct"/>
            <w:gridSpan w:val="7"/>
            <w:shd w:val="clear" w:color="auto" w:fill="auto"/>
          </w:tcPr>
          <w:p w14:paraId="7A539D78"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Źródło danych</w:t>
            </w:r>
            <w:r w:rsidRPr="00DA60BA" w:rsidDel="00260F33">
              <w:rPr>
                <w:rFonts w:ascii="Times New Roman" w:eastAsia="Calibri" w:hAnsi="Times New Roman" w:cs="Times New Roman"/>
                <w:color w:val="000000"/>
                <w:spacing w:val="-2"/>
                <w:sz w:val="21"/>
              </w:rPr>
              <w:t xml:space="preserve"> </w:t>
            </w:r>
          </w:p>
        </w:tc>
        <w:tc>
          <w:tcPr>
            <w:tcW w:w="2416" w:type="pct"/>
            <w:gridSpan w:val="12"/>
            <w:shd w:val="clear" w:color="auto" w:fill="auto"/>
          </w:tcPr>
          <w:p w14:paraId="74CCF894"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Oddziaływanie</w:t>
            </w:r>
          </w:p>
        </w:tc>
      </w:tr>
      <w:tr w:rsidR="002F6B0A" w:rsidRPr="00DA60BA" w14:paraId="61710E90" w14:textId="77777777" w:rsidTr="002F6B0A">
        <w:trPr>
          <w:trHeight w:val="142"/>
        </w:trPr>
        <w:tc>
          <w:tcPr>
            <w:tcW w:w="1150" w:type="pct"/>
            <w:gridSpan w:val="4"/>
            <w:shd w:val="clear" w:color="auto" w:fill="auto"/>
          </w:tcPr>
          <w:p w14:paraId="40B680F1"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z w:val="21"/>
              </w:rPr>
              <w:t>Jednostki centralnej administracji rządowej</w:t>
            </w:r>
          </w:p>
        </w:tc>
        <w:tc>
          <w:tcPr>
            <w:tcW w:w="541" w:type="pct"/>
            <w:gridSpan w:val="4"/>
            <w:shd w:val="clear" w:color="auto" w:fill="auto"/>
          </w:tcPr>
          <w:p w14:paraId="347D827B"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96</w:t>
            </w:r>
          </w:p>
        </w:tc>
        <w:tc>
          <w:tcPr>
            <w:tcW w:w="893" w:type="pct"/>
            <w:gridSpan w:val="7"/>
            <w:shd w:val="clear" w:color="auto" w:fill="auto"/>
          </w:tcPr>
          <w:p w14:paraId="4E0375DC"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sejm.gov.pl</w:t>
            </w:r>
          </w:p>
        </w:tc>
        <w:tc>
          <w:tcPr>
            <w:tcW w:w="2416" w:type="pct"/>
            <w:gridSpan w:val="12"/>
            <w:shd w:val="clear" w:color="auto" w:fill="auto"/>
          </w:tcPr>
          <w:p w14:paraId="75CD5634"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Regulacja daje podstawy do łączenia zasobów istniejących środowisk IT w celu świadczenia usług w modelu chmurowym. Jednostki administracji centralnej uzyskają dostęp do dedykowanych narzędzi wspierających proces zamawiania usług IT oraz automatyzacji postępowań przetargowych w tym zakresie.</w:t>
            </w:r>
          </w:p>
        </w:tc>
      </w:tr>
      <w:tr w:rsidR="002F6B0A" w:rsidRPr="00DA60BA" w14:paraId="012AF445" w14:textId="77777777" w:rsidTr="002F6B0A">
        <w:trPr>
          <w:trHeight w:val="142"/>
        </w:trPr>
        <w:tc>
          <w:tcPr>
            <w:tcW w:w="1150" w:type="pct"/>
            <w:gridSpan w:val="4"/>
            <w:shd w:val="clear" w:color="auto" w:fill="auto"/>
          </w:tcPr>
          <w:p w14:paraId="494885F3"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Jednostki rządowej administracji zespolonej</w:t>
            </w:r>
          </w:p>
        </w:tc>
        <w:tc>
          <w:tcPr>
            <w:tcW w:w="541" w:type="pct"/>
            <w:gridSpan w:val="4"/>
            <w:shd w:val="clear" w:color="auto" w:fill="auto"/>
          </w:tcPr>
          <w:p w14:paraId="7E479ABC"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1 936</w:t>
            </w:r>
          </w:p>
        </w:tc>
        <w:tc>
          <w:tcPr>
            <w:tcW w:w="893" w:type="pct"/>
            <w:gridSpan w:val="7"/>
            <w:shd w:val="clear" w:color="auto" w:fill="auto"/>
          </w:tcPr>
          <w:p w14:paraId="1C0807E0"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administracja.mswia.gov.pl</w:t>
            </w:r>
          </w:p>
        </w:tc>
        <w:tc>
          <w:tcPr>
            <w:tcW w:w="2416" w:type="pct"/>
            <w:gridSpan w:val="12"/>
            <w:shd w:val="clear" w:color="auto" w:fill="auto"/>
          </w:tcPr>
          <w:p w14:paraId="7B22CD4D"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Regulacja daje podstawy do łączenia zasobów istniejących środowisk IT w celu świadczenia usług w modelu chmurowym. Jednostki administracji zespolonej uzyskają dostęp do dedykowanych narzędzi wspierających proces zamawiania usług IT oraz automatyzacji postępowań przetargowych w tym zakresie.</w:t>
            </w:r>
          </w:p>
        </w:tc>
      </w:tr>
      <w:tr w:rsidR="002F6B0A" w:rsidRPr="00DA60BA" w14:paraId="3EB0388E" w14:textId="77777777" w:rsidTr="002F6B0A">
        <w:trPr>
          <w:trHeight w:val="142"/>
        </w:trPr>
        <w:tc>
          <w:tcPr>
            <w:tcW w:w="1150" w:type="pct"/>
            <w:gridSpan w:val="4"/>
            <w:shd w:val="clear" w:color="auto" w:fill="auto"/>
          </w:tcPr>
          <w:p w14:paraId="67E9A0C1" w14:textId="77777777" w:rsidR="00DA60BA" w:rsidRPr="00DA60BA" w:rsidRDefault="00DA60BA" w:rsidP="00DA60BA">
            <w:pPr>
              <w:tabs>
                <w:tab w:val="left" w:pos="1501"/>
              </w:tabs>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z w:val="21"/>
              </w:rPr>
              <w:t>Jednostki administracji samorządowej</w:t>
            </w:r>
          </w:p>
        </w:tc>
        <w:tc>
          <w:tcPr>
            <w:tcW w:w="541" w:type="pct"/>
            <w:gridSpan w:val="4"/>
            <w:shd w:val="clear" w:color="auto" w:fill="auto"/>
          </w:tcPr>
          <w:p w14:paraId="08C8F3F8"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2 807</w:t>
            </w:r>
          </w:p>
        </w:tc>
        <w:tc>
          <w:tcPr>
            <w:tcW w:w="893" w:type="pct"/>
            <w:gridSpan w:val="7"/>
            <w:shd w:val="clear" w:color="auto" w:fill="auto"/>
          </w:tcPr>
          <w:p w14:paraId="20442698"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administracja.mswia.gov.pl</w:t>
            </w:r>
          </w:p>
        </w:tc>
        <w:tc>
          <w:tcPr>
            <w:tcW w:w="2416" w:type="pct"/>
            <w:gridSpan w:val="12"/>
            <w:shd w:val="clear" w:color="auto" w:fill="auto"/>
          </w:tcPr>
          <w:p w14:paraId="71896337"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Jednostki administracji samorządowej uzyskają dostęp do dedykowanych narzędzi wspierających proces zamawiania usług IT oraz automatyzacji postępowań przetargowych w tym zakresie.</w:t>
            </w:r>
          </w:p>
        </w:tc>
      </w:tr>
      <w:tr w:rsidR="002F6B0A" w:rsidRPr="00DA60BA" w14:paraId="1C77784F" w14:textId="77777777" w:rsidTr="002F6B0A">
        <w:trPr>
          <w:trHeight w:val="142"/>
        </w:trPr>
        <w:tc>
          <w:tcPr>
            <w:tcW w:w="1150" w:type="pct"/>
            <w:gridSpan w:val="4"/>
            <w:shd w:val="clear" w:color="auto" w:fill="auto"/>
          </w:tcPr>
          <w:p w14:paraId="097677EE" w14:textId="77777777" w:rsidR="00DA60BA" w:rsidRPr="00DA60BA" w:rsidRDefault="00DA60BA" w:rsidP="00DA60BA">
            <w:pPr>
              <w:tabs>
                <w:tab w:val="left" w:pos="1560"/>
              </w:tabs>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Przedsiębiorcy działający w sektorze usług IT</w:t>
            </w:r>
          </w:p>
        </w:tc>
        <w:tc>
          <w:tcPr>
            <w:tcW w:w="541" w:type="pct"/>
            <w:gridSpan w:val="4"/>
            <w:shd w:val="clear" w:color="auto" w:fill="auto"/>
          </w:tcPr>
          <w:p w14:paraId="20E39EDC"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76 302</w:t>
            </w:r>
          </w:p>
        </w:tc>
        <w:tc>
          <w:tcPr>
            <w:tcW w:w="893" w:type="pct"/>
            <w:gridSpan w:val="7"/>
            <w:shd w:val="clear" w:color="auto" w:fill="auto"/>
          </w:tcPr>
          <w:p w14:paraId="575216A4"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eurostat</w:t>
            </w:r>
          </w:p>
        </w:tc>
        <w:tc>
          <w:tcPr>
            <w:tcW w:w="2416" w:type="pct"/>
            <w:gridSpan w:val="12"/>
            <w:shd w:val="clear" w:color="auto" w:fill="auto"/>
          </w:tcPr>
          <w:p w14:paraId="033B7EAE"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DA60BA" w:rsidRPr="00DA60BA" w14:paraId="2F0F87CE" w14:textId="77777777" w:rsidTr="002F6B0A">
        <w:trPr>
          <w:trHeight w:val="302"/>
        </w:trPr>
        <w:tc>
          <w:tcPr>
            <w:tcW w:w="5000" w:type="pct"/>
            <w:gridSpan w:val="27"/>
            <w:shd w:val="clear" w:color="auto" w:fill="99CCFF"/>
            <w:vAlign w:val="center"/>
          </w:tcPr>
          <w:p w14:paraId="2E4F30CA"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Informacje na temat zakresu, czasu trwania i podsumowanie wyników konsultacji</w:t>
            </w:r>
          </w:p>
        </w:tc>
      </w:tr>
      <w:tr w:rsidR="00DA60BA" w:rsidRPr="00DA60BA" w14:paraId="62BE01F4" w14:textId="77777777" w:rsidTr="002F6B0A">
        <w:trPr>
          <w:trHeight w:val="342"/>
        </w:trPr>
        <w:tc>
          <w:tcPr>
            <w:tcW w:w="5000" w:type="pct"/>
            <w:gridSpan w:val="27"/>
            <w:shd w:val="clear" w:color="auto" w:fill="FFFFFF"/>
          </w:tcPr>
          <w:p w14:paraId="01D9BC30"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lastRenderedPageBreak/>
              <w:t>Założenia WIIP były przedmiotem konsultacji między Ministerstwem Cyfryzacji, Ministerstwem Finansów oraz Ministerstwem Spraw Wewnętrznych i Administracji, a także jednostkami zaangażowanymi w przygotowanie koncepcji technicznej i organizacyjnej przedsięwzięcia, do których należą Centralny Ośrodek Informatyki oraz Naukowa i Akademicka Sieć Komputerowa - Państwowy Instytut Badawczy.</w:t>
            </w:r>
          </w:p>
          <w:p w14:paraId="19152274" w14:textId="77777777" w:rsid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Koncepcja projektu Wspólnej Infrastruktury Państwa (WIP) została zaprezentowana przez Ministra Cyfryzacji na posiedzeniu Komitetu Ekonomicznego Rady Ministrów w dniu 25 września 2018 r., kiedy to Komitet udzielił pozytywnej rekomendacji dla prezentowanych założeń.</w:t>
            </w:r>
          </w:p>
          <w:p w14:paraId="5AD78BA4" w14:textId="77777777" w:rsidR="00623A14" w:rsidRPr="00430256" w:rsidRDefault="00623A14" w:rsidP="00623A14">
            <w:pPr>
              <w:tabs>
                <w:tab w:val="left" w:pos="419"/>
              </w:tabs>
              <w:spacing w:line="240" w:lineRule="auto"/>
              <w:jc w:val="both"/>
              <w:rPr>
                <w:rFonts w:ascii="Times New Roman" w:hAnsi="Times New Roman" w:cs="Times New Roman"/>
                <w:sz w:val="21"/>
                <w:szCs w:val="21"/>
              </w:rPr>
            </w:pPr>
            <w:r w:rsidRPr="00430256">
              <w:rPr>
                <w:rFonts w:ascii="Times New Roman" w:hAnsi="Times New Roman" w:cs="Times New Roman"/>
                <w:sz w:val="21"/>
                <w:szCs w:val="21"/>
              </w:rPr>
              <w:t>Projekt uchwały został poddany uzgodnieniom, konsultacjom publicznym i opiniowaniu.</w:t>
            </w:r>
          </w:p>
          <w:p w14:paraId="1A14F8B5" w14:textId="77777777" w:rsidR="00623A14" w:rsidRPr="00430256" w:rsidRDefault="00623A14" w:rsidP="00623A14">
            <w:pPr>
              <w:tabs>
                <w:tab w:val="left" w:pos="419"/>
              </w:tabs>
              <w:spacing w:after="120" w:line="240" w:lineRule="auto"/>
              <w:jc w:val="both"/>
              <w:rPr>
                <w:rFonts w:ascii="Times New Roman" w:eastAsia="Calibri" w:hAnsi="Times New Roman" w:cs="Times New Roman"/>
                <w:spacing w:val="-2"/>
                <w:sz w:val="21"/>
                <w:szCs w:val="21"/>
              </w:rPr>
            </w:pPr>
            <w:r w:rsidRPr="00430256">
              <w:rPr>
                <w:rFonts w:ascii="Times New Roman" w:eastAsia="Calibri" w:hAnsi="Times New Roman" w:cs="Times New Roman"/>
                <w:spacing w:val="-2"/>
                <w:sz w:val="21"/>
                <w:szCs w:val="21"/>
              </w:rPr>
              <w:t>Wszystkie zgłoszone uwagi zostały rozpatrzone, a w przypadku, gdy były uzasadnione – zostały uwzględnione. Dodatkowo z przedstawicielami Ministerstwa Obrony Narodowej</w:t>
            </w:r>
            <w:r w:rsidR="00F72488">
              <w:rPr>
                <w:rFonts w:ascii="Times New Roman" w:eastAsia="Calibri" w:hAnsi="Times New Roman" w:cs="Times New Roman"/>
                <w:spacing w:val="-2"/>
                <w:sz w:val="21"/>
                <w:szCs w:val="21"/>
              </w:rPr>
              <w:t>, Ministerstwem Sprawiedliwości</w:t>
            </w:r>
            <w:r w:rsidRPr="00430256">
              <w:rPr>
                <w:rFonts w:ascii="Times New Roman" w:eastAsia="Calibri" w:hAnsi="Times New Roman" w:cs="Times New Roman"/>
                <w:spacing w:val="-2"/>
                <w:sz w:val="21"/>
                <w:szCs w:val="21"/>
              </w:rPr>
              <w:t xml:space="preserve"> i Ministerstwa Finansów przeprowadzono uzgodnieniowe spotkania robocze.</w:t>
            </w:r>
          </w:p>
          <w:p w14:paraId="31960156" w14:textId="77777777" w:rsidR="00DA60BA" w:rsidRPr="00430256" w:rsidRDefault="00623A14" w:rsidP="00430256">
            <w:pPr>
              <w:tabs>
                <w:tab w:val="left" w:pos="419"/>
              </w:tabs>
              <w:spacing w:line="240" w:lineRule="auto"/>
              <w:jc w:val="both"/>
              <w:rPr>
                <w:rFonts w:ascii="Times New Roman" w:hAnsi="Times New Roman"/>
                <w:sz w:val="21"/>
              </w:rPr>
            </w:pPr>
            <w:r w:rsidRPr="00430256">
              <w:rPr>
                <w:rFonts w:ascii="Times New Roman" w:eastAsia="Calibri" w:hAnsi="Times New Roman" w:cs="Times New Roman"/>
                <w:spacing w:val="-2"/>
                <w:sz w:val="21"/>
                <w:szCs w:val="21"/>
              </w:rPr>
              <w:t>Stanowisko do uwag zgłoszonych w ramach uzgodnień, konsultacji publicznych oraz opiniowania zostanie opublikowane w Biuletynie Informacji Publicznej na stronie podmiotowej Ministra Cyfryzacji.</w:t>
            </w:r>
          </w:p>
        </w:tc>
      </w:tr>
      <w:tr w:rsidR="00DA60BA" w:rsidRPr="00DA60BA" w14:paraId="60725791" w14:textId="77777777" w:rsidTr="002F6B0A">
        <w:trPr>
          <w:trHeight w:val="363"/>
        </w:trPr>
        <w:tc>
          <w:tcPr>
            <w:tcW w:w="5000" w:type="pct"/>
            <w:gridSpan w:val="27"/>
            <w:shd w:val="clear" w:color="auto" w:fill="99CCFF"/>
            <w:vAlign w:val="center"/>
          </w:tcPr>
          <w:p w14:paraId="2E5DD2F2"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Wpływ na sektor finansów publicznych</w:t>
            </w:r>
          </w:p>
        </w:tc>
      </w:tr>
      <w:tr w:rsidR="00571989" w:rsidRPr="00DA60BA" w14:paraId="61275E92" w14:textId="77777777" w:rsidTr="002F6B0A">
        <w:trPr>
          <w:trHeight w:val="142"/>
        </w:trPr>
        <w:tc>
          <w:tcPr>
            <w:tcW w:w="978" w:type="pct"/>
            <w:gridSpan w:val="3"/>
            <w:vMerge w:val="restart"/>
            <w:shd w:val="clear" w:color="auto" w:fill="FFFFFF"/>
          </w:tcPr>
          <w:p w14:paraId="1D9644B9" w14:textId="77777777" w:rsidR="00DA60BA" w:rsidRPr="00DA60BA" w:rsidRDefault="00DA60BA" w:rsidP="00DA60BA">
            <w:pPr>
              <w:spacing w:before="40" w:after="40" w:line="276" w:lineRule="auto"/>
              <w:jc w:val="both"/>
              <w:rPr>
                <w:rFonts w:ascii="Times New Roman" w:eastAsia="Calibri" w:hAnsi="Times New Roman" w:cs="Times New Roman"/>
                <w:i/>
                <w:color w:val="000000"/>
                <w:sz w:val="21"/>
              </w:rPr>
            </w:pPr>
            <w:r w:rsidRPr="00DA60BA">
              <w:rPr>
                <w:rFonts w:ascii="Times New Roman" w:eastAsia="Calibri" w:hAnsi="Times New Roman" w:cs="Times New Roman"/>
                <w:color w:val="000000"/>
                <w:sz w:val="21"/>
              </w:rPr>
              <w:t xml:space="preserve">(ceny stałe z </w:t>
            </w:r>
            <w:r w:rsidRPr="00DA60BA">
              <w:rPr>
                <w:rFonts w:ascii="Times New Roman" w:eastAsia="Calibri" w:hAnsi="Times New Roman" w:cs="Times New Roman"/>
                <w:color w:val="000000"/>
                <w:sz w:val="21"/>
                <w:szCs w:val="21"/>
              </w:rPr>
              <w:t>2019</w:t>
            </w:r>
            <w:r w:rsidRPr="00DA60BA">
              <w:rPr>
                <w:rFonts w:ascii="Times New Roman" w:eastAsia="Calibri" w:hAnsi="Times New Roman" w:cs="Times New Roman"/>
                <w:color w:val="000000"/>
                <w:sz w:val="21"/>
              </w:rPr>
              <w:t xml:space="preserve"> r.)</w:t>
            </w:r>
          </w:p>
        </w:tc>
        <w:tc>
          <w:tcPr>
            <w:tcW w:w="4022" w:type="pct"/>
            <w:gridSpan w:val="24"/>
            <w:shd w:val="clear" w:color="auto" w:fill="FFFFFF"/>
          </w:tcPr>
          <w:p w14:paraId="28D72807" w14:textId="77777777" w:rsidR="00DA60BA" w:rsidRPr="00DA60BA" w:rsidRDefault="00DA60BA" w:rsidP="00DA60BA">
            <w:pPr>
              <w:spacing w:before="40" w:after="40" w:line="240" w:lineRule="auto"/>
              <w:jc w:val="center"/>
              <w:rPr>
                <w:rFonts w:ascii="Times New Roman" w:eastAsia="Calibri" w:hAnsi="Times New Roman" w:cs="Times New Roman"/>
                <w:i/>
                <w:color w:val="000000"/>
                <w:spacing w:val="-2"/>
                <w:sz w:val="21"/>
              </w:rPr>
            </w:pPr>
            <w:r w:rsidRPr="00DA60BA">
              <w:rPr>
                <w:rFonts w:ascii="Times New Roman" w:eastAsia="Calibri" w:hAnsi="Times New Roman" w:cs="Times New Roman"/>
                <w:color w:val="000000"/>
                <w:sz w:val="21"/>
              </w:rPr>
              <w:t>Skutki w okresie 10 lat od wejścia w życie zmian [</w:t>
            </w:r>
            <w:r w:rsidRPr="00DA60BA">
              <w:rPr>
                <w:rFonts w:ascii="Times New Roman" w:eastAsia="Calibri" w:hAnsi="Times New Roman" w:cs="Times New Roman"/>
                <w:color w:val="000000"/>
                <w:sz w:val="21"/>
                <w:szCs w:val="21"/>
              </w:rPr>
              <w:t>mln</w:t>
            </w:r>
            <w:r w:rsidRPr="00DA60BA">
              <w:rPr>
                <w:rFonts w:ascii="Times New Roman" w:eastAsia="Calibri" w:hAnsi="Times New Roman" w:cs="Times New Roman"/>
                <w:color w:val="000000"/>
                <w:sz w:val="21"/>
              </w:rPr>
              <w:t xml:space="preserve"> zł]</w:t>
            </w:r>
          </w:p>
        </w:tc>
      </w:tr>
      <w:tr w:rsidR="002F6B0A" w:rsidRPr="00DA60BA" w14:paraId="15B2F9FE" w14:textId="77777777" w:rsidTr="002F6B0A">
        <w:trPr>
          <w:trHeight w:val="142"/>
        </w:trPr>
        <w:tc>
          <w:tcPr>
            <w:tcW w:w="978" w:type="pct"/>
            <w:gridSpan w:val="3"/>
            <w:vMerge/>
            <w:shd w:val="clear" w:color="auto" w:fill="FFFFFF"/>
          </w:tcPr>
          <w:p w14:paraId="3E63F290" w14:textId="77777777" w:rsidR="00DA60BA" w:rsidRPr="00DA60BA" w:rsidRDefault="00DA60BA" w:rsidP="00DA60BA">
            <w:pPr>
              <w:spacing w:before="40" w:after="40" w:line="240" w:lineRule="auto"/>
              <w:jc w:val="both"/>
              <w:rPr>
                <w:rFonts w:ascii="Times New Roman" w:eastAsia="Calibri" w:hAnsi="Times New Roman" w:cs="Times New Roman"/>
                <w:i/>
                <w:color w:val="000000"/>
                <w:sz w:val="21"/>
              </w:rPr>
            </w:pPr>
          </w:p>
        </w:tc>
        <w:tc>
          <w:tcPr>
            <w:tcW w:w="269" w:type="pct"/>
            <w:gridSpan w:val="2"/>
            <w:shd w:val="clear" w:color="auto" w:fill="FFFFFF"/>
          </w:tcPr>
          <w:p w14:paraId="1B5D4AE4"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0</w:t>
            </w:r>
          </w:p>
        </w:tc>
        <w:tc>
          <w:tcPr>
            <w:tcW w:w="278" w:type="pct"/>
            <w:shd w:val="clear" w:color="auto" w:fill="FFFFFF"/>
          </w:tcPr>
          <w:p w14:paraId="650ED8BB"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1</w:t>
            </w:r>
          </w:p>
        </w:tc>
        <w:tc>
          <w:tcPr>
            <w:tcW w:w="350" w:type="pct"/>
            <w:gridSpan w:val="4"/>
            <w:shd w:val="clear" w:color="auto" w:fill="FFFFFF"/>
          </w:tcPr>
          <w:p w14:paraId="059D57DA"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2</w:t>
            </w:r>
          </w:p>
        </w:tc>
        <w:tc>
          <w:tcPr>
            <w:tcW w:w="288" w:type="pct"/>
            <w:shd w:val="clear" w:color="auto" w:fill="FFFFFF"/>
          </w:tcPr>
          <w:p w14:paraId="003FF87A"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3</w:t>
            </w:r>
          </w:p>
        </w:tc>
        <w:tc>
          <w:tcPr>
            <w:tcW w:w="340" w:type="pct"/>
            <w:gridSpan w:val="2"/>
            <w:shd w:val="clear" w:color="auto" w:fill="FFFFFF"/>
          </w:tcPr>
          <w:p w14:paraId="312C0F3A"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4</w:t>
            </w:r>
          </w:p>
        </w:tc>
        <w:tc>
          <w:tcPr>
            <w:tcW w:w="352" w:type="pct"/>
            <w:gridSpan w:val="3"/>
            <w:shd w:val="clear" w:color="auto" w:fill="FFFFFF"/>
          </w:tcPr>
          <w:p w14:paraId="0250F2AD"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5</w:t>
            </w:r>
          </w:p>
        </w:tc>
        <w:tc>
          <w:tcPr>
            <w:tcW w:w="274" w:type="pct"/>
            <w:gridSpan w:val="2"/>
            <w:shd w:val="clear" w:color="auto" w:fill="FFFFFF"/>
          </w:tcPr>
          <w:p w14:paraId="767A8719"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6</w:t>
            </w:r>
          </w:p>
        </w:tc>
        <w:tc>
          <w:tcPr>
            <w:tcW w:w="350" w:type="pct"/>
            <w:gridSpan w:val="3"/>
            <w:shd w:val="clear" w:color="auto" w:fill="FFFFFF"/>
          </w:tcPr>
          <w:p w14:paraId="559DC963"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7</w:t>
            </w:r>
          </w:p>
        </w:tc>
        <w:tc>
          <w:tcPr>
            <w:tcW w:w="356" w:type="pct"/>
            <w:gridSpan w:val="2"/>
            <w:shd w:val="clear" w:color="auto" w:fill="FFFFFF"/>
          </w:tcPr>
          <w:p w14:paraId="2143BCC0"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8</w:t>
            </w:r>
          </w:p>
        </w:tc>
        <w:tc>
          <w:tcPr>
            <w:tcW w:w="330" w:type="pct"/>
            <w:gridSpan w:val="2"/>
            <w:shd w:val="clear" w:color="auto" w:fill="FFFFFF"/>
          </w:tcPr>
          <w:p w14:paraId="3EACC6CD"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9</w:t>
            </w:r>
          </w:p>
        </w:tc>
        <w:tc>
          <w:tcPr>
            <w:tcW w:w="365" w:type="pct"/>
            <w:shd w:val="clear" w:color="auto" w:fill="FFFFFF"/>
          </w:tcPr>
          <w:p w14:paraId="05537108"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10</w:t>
            </w:r>
          </w:p>
        </w:tc>
        <w:tc>
          <w:tcPr>
            <w:tcW w:w="470" w:type="pct"/>
            <w:shd w:val="clear" w:color="auto" w:fill="FFFFFF"/>
          </w:tcPr>
          <w:p w14:paraId="6D23E91D" w14:textId="77777777" w:rsidR="00DA60BA" w:rsidRPr="00DA60BA" w:rsidRDefault="00DA60BA" w:rsidP="00DA60BA">
            <w:pPr>
              <w:spacing w:before="40" w:after="40" w:line="240" w:lineRule="auto"/>
              <w:jc w:val="center"/>
              <w:rPr>
                <w:rFonts w:ascii="Times New Roman" w:eastAsia="Calibri" w:hAnsi="Times New Roman" w:cs="Times New Roman"/>
                <w:i/>
                <w:color w:val="000000"/>
                <w:spacing w:val="-2"/>
                <w:sz w:val="21"/>
              </w:rPr>
            </w:pPr>
            <w:r w:rsidRPr="00DA60BA">
              <w:rPr>
                <w:rFonts w:ascii="Times New Roman" w:eastAsia="Calibri" w:hAnsi="Times New Roman" w:cs="Times New Roman"/>
                <w:i/>
                <w:color w:val="000000"/>
                <w:spacing w:val="-2"/>
                <w:sz w:val="21"/>
              </w:rPr>
              <w:t>Łącznie (0-10)</w:t>
            </w:r>
          </w:p>
        </w:tc>
      </w:tr>
      <w:tr w:rsidR="002F6B0A" w:rsidRPr="00DA60BA" w14:paraId="59CE8C7F" w14:textId="77777777" w:rsidTr="002F6B0A">
        <w:trPr>
          <w:trHeight w:val="321"/>
        </w:trPr>
        <w:tc>
          <w:tcPr>
            <w:tcW w:w="978" w:type="pct"/>
            <w:gridSpan w:val="3"/>
            <w:shd w:val="clear" w:color="auto" w:fill="FFFFFF"/>
            <w:vAlign w:val="center"/>
          </w:tcPr>
          <w:p w14:paraId="0E2D53E0"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Dochody ogółem</w:t>
            </w:r>
          </w:p>
        </w:tc>
        <w:tc>
          <w:tcPr>
            <w:tcW w:w="269" w:type="pct"/>
            <w:gridSpan w:val="2"/>
            <w:shd w:val="clear" w:color="auto" w:fill="FFFFFF"/>
          </w:tcPr>
          <w:p w14:paraId="7BF7809A" w14:textId="77777777" w:rsidR="00E559DE" w:rsidRPr="000A3661" w:rsidRDefault="00E559DE" w:rsidP="00E559DE">
            <w:pPr>
              <w:spacing w:after="0" w:line="240" w:lineRule="auto"/>
              <w:jc w:val="right"/>
              <w:rPr>
                <w:rFonts w:ascii="Times New Roman" w:eastAsia="Calibri" w:hAnsi="Times New Roman" w:cs="Times New Roman"/>
                <w:b/>
                <w:bCs/>
                <w:color w:val="000000"/>
                <w:sz w:val="16"/>
                <w:szCs w:val="16"/>
                <w:lang w:eastAsia="pl-PL"/>
              </w:rPr>
            </w:pPr>
            <w:r w:rsidRPr="00571989">
              <w:rPr>
                <w:rFonts w:ascii="Times New Roman" w:hAnsi="Times New Roman" w:cs="Times New Roman"/>
                <w:sz w:val="16"/>
              </w:rPr>
              <w:t>0</w:t>
            </w:r>
          </w:p>
        </w:tc>
        <w:tc>
          <w:tcPr>
            <w:tcW w:w="278" w:type="pct"/>
            <w:shd w:val="clear" w:color="auto" w:fill="FFFFFF"/>
          </w:tcPr>
          <w:p w14:paraId="610D980B"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618EC0D3"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288" w:type="pct"/>
            <w:shd w:val="clear" w:color="auto" w:fill="FFFFFF"/>
          </w:tcPr>
          <w:p w14:paraId="3C884EE5" w14:textId="77777777" w:rsidR="00E559DE" w:rsidRPr="000A3661" w:rsidRDefault="00E559DE" w:rsidP="00E559DE">
            <w:pPr>
              <w:spacing w:after="0" w:line="276" w:lineRule="auto"/>
              <w:jc w:val="center"/>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544784C7"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56BD9B1C"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42F472B0"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36E0AAE5"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6408EEA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45B95ABC"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65" w:type="pct"/>
            <w:shd w:val="clear" w:color="auto" w:fill="FFFFFF"/>
          </w:tcPr>
          <w:p w14:paraId="72DAA9BF"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470" w:type="pct"/>
            <w:shd w:val="clear" w:color="auto" w:fill="FFFFFF"/>
          </w:tcPr>
          <w:p w14:paraId="49AF0138"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14:paraId="4110888C" w14:textId="77777777" w:rsidTr="002F6B0A">
        <w:trPr>
          <w:trHeight w:val="321"/>
        </w:trPr>
        <w:tc>
          <w:tcPr>
            <w:tcW w:w="978" w:type="pct"/>
            <w:gridSpan w:val="3"/>
            <w:shd w:val="clear" w:color="auto" w:fill="FFFFFF"/>
            <w:vAlign w:val="center"/>
          </w:tcPr>
          <w:p w14:paraId="63F0C518"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budżet państwa</w:t>
            </w:r>
          </w:p>
        </w:tc>
        <w:tc>
          <w:tcPr>
            <w:tcW w:w="269" w:type="pct"/>
            <w:gridSpan w:val="2"/>
            <w:shd w:val="clear" w:color="auto" w:fill="FFFFFF"/>
          </w:tcPr>
          <w:p w14:paraId="26C60535"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14:paraId="15C293C7"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64AC04BE"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14:paraId="363EE9D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269E419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20460456"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3921149C"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4520757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094668E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6D338BF5"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14:paraId="6D8D239F"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14:paraId="5A9C8112"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14:paraId="5AD4A68B" w14:textId="77777777" w:rsidTr="002F6B0A">
        <w:trPr>
          <w:trHeight w:val="344"/>
        </w:trPr>
        <w:tc>
          <w:tcPr>
            <w:tcW w:w="978" w:type="pct"/>
            <w:gridSpan w:val="3"/>
            <w:shd w:val="clear" w:color="auto" w:fill="FFFFFF"/>
            <w:vAlign w:val="center"/>
          </w:tcPr>
          <w:p w14:paraId="32534A1D"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69" w:type="pct"/>
            <w:gridSpan w:val="2"/>
            <w:shd w:val="clear" w:color="auto" w:fill="FFFFFF"/>
          </w:tcPr>
          <w:p w14:paraId="404EF98D"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14:paraId="30C866D9"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131E5765"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14:paraId="0E0B78E3"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692962F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73C6C15F"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2AF54E54"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1FCAA6E3"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3C71190C"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59DABF3E"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14:paraId="37E79E37"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14:paraId="4BAD8503"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14:paraId="2EF1C1FB" w14:textId="77777777" w:rsidTr="002F6B0A">
        <w:trPr>
          <w:trHeight w:val="344"/>
        </w:trPr>
        <w:tc>
          <w:tcPr>
            <w:tcW w:w="978" w:type="pct"/>
            <w:gridSpan w:val="3"/>
            <w:shd w:val="clear" w:color="auto" w:fill="FFFFFF"/>
            <w:vAlign w:val="center"/>
          </w:tcPr>
          <w:p w14:paraId="2B061643" w14:textId="77777777" w:rsidR="00E559DE" w:rsidRPr="00DA60BA" w:rsidRDefault="00E559DE" w:rsidP="00E559DE">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pozostałe jednostki (oddzielnie)</w:t>
            </w:r>
          </w:p>
        </w:tc>
        <w:tc>
          <w:tcPr>
            <w:tcW w:w="269" w:type="pct"/>
            <w:gridSpan w:val="2"/>
            <w:shd w:val="clear" w:color="auto" w:fill="FFFFFF"/>
          </w:tcPr>
          <w:p w14:paraId="2390D42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14:paraId="0628489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5274BF7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14:paraId="63E10094"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49E0264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37284216"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1E7C21D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1B2B9C9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7321F72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7913B83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14:paraId="048FB5A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14:paraId="1837C79E"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14:paraId="7DE8E2F3" w14:textId="77777777" w:rsidTr="002F6B0A">
        <w:trPr>
          <w:trHeight w:val="330"/>
        </w:trPr>
        <w:tc>
          <w:tcPr>
            <w:tcW w:w="978" w:type="pct"/>
            <w:gridSpan w:val="3"/>
            <w:shd w:val="clear" w:color="auto" w:fill="FFFFFF"/>
            <w:vAlign w:val="center"/>
          </w:tcPr>
          <w:p w14:paraId="0BAB7BE6"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Wydatki ogółem</w:t>
            </w:r>
          </w:p>
        </w:tc>
        <w:tc>
          <w:tcPr>
            <w:tcW w:w="269" w:type="pct"/>
            <w:gridSpan w:val="2"/>
            <w:shd w:val="clear" w:color="auto" w:fill="FFFFFF"/>
          </w:tcPr>
          <w:p w14:paraId="4CBCE57E"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8,3</w:t>
            </w:r>
          </w:p>
        </w:tc>
        <w:tc>
          <w:tcPr>
            <w:tcW w:w="278" w:type="pct"/>
            <w:shd w:val="clear" w:color="auto" w:fill="FFFFFF"/>
          </w:tcPr>
          <w:p w14:paraId="05BD02CC"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99,4</w:t>
            </w:r>
          </w:p>
        </w:tc>
        <w:tc>
          <w:tcPr>
            <w:tcW w:w="350" w:type="pct"/>
            <w:gridSpan w:val="4"/>
            <w:shd w:val="clear" w:color="auto" w:fill="FFFFFF"/>
          </w:tcPr>
          <w:p w14:paraId="3F20EE6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-38</w:t>
            </w:r>
          </w:p>
        </w:tc>
        <w:tc>
          <w:tcPr>
            <w:tcW w:w="288" w:type="pct"/>
            <w:shd w:val="clear" w:color="auto" w:fill="FFFFFF"/>
          </w:tcPr>
          <w:p w14:paraId="6D67ACC7"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-46,7</w:t>
            </w:r>
          </w:p>
        </w:tc>
        <w:tc>
          <w:tcPr>
            <w:tcW w:w="340" w:type="pct"/>
            <w:gridSpan w:val="2"/>
            <w:shd w:val="clear" w:color="auto" w:fill="FFFFFF"/>
          </w:tcPr>
          <w:p w14:paraId="3D5C3EB0" w14:textId="77777777" w:rsidR="00E559DE" w:rsidRPr="000A3661" w:rsidRDefault="00E559DE" w:rsidP="00E559DE">
            <w:pPr>
              <w:spacing w:after="0" w:line="276" w:lineRule="auto"/>
              <w:jc w:val="center"/>
              <w:rPr>
                <w:rFonts w:ascii="Times New Roman" w:eastAsia="Calibri" w:hAnsi="Times New Roman" w:cs="Times New Roman"/>
                <w:b/>
                <w:bCs/>
                <w:color w:val="000000"/>
                <w:sz w:val="16"/>
                <w:szCs w:val="18"/>
              </w:rPr>
            </w:pPr>
            <w:r w:rsidRPr="00571989">
              <w:rPr>
                <w:rFonts w:ascii="Times New Roman" w:hAnsi="Times New Roman" w:cs="Times New Roman"/>
                <w:sz w:val="16"/>
              </w:rPr>
              <w:t>-70,7</w:t>
            </w:r>
          </w:p>
        </w:tc>
        <w:tc>
          <w:tcPr>
            <w:tcW w:w="352" w:type="pct"/>
            <w:gridSpan w:val="3"/>
            <w:shd w:val="clear" w:color="auto" w:fill="FFFFFF"/>
          </w:tcPr>
          <w:p w14:paraId="16DDAB19"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-71,9</w:t>
            </w:r>
          </w:p>
        </w:tc>
        <w:tc>
          <w:tcPr>
            <w:tcW w:w="274" w:type="pct"/>
            <w:gridSpan w:val="2"/>
            <w:shd w:val="clear" w:color="auto" w:fill="FFFFFF"/>
          </w:tcPr>
          <w:p w14:paraId="50F9AAA8"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-15,8</w:t>
            </w:r>
          </w:p>
        </w:tc>
        <w:tc>
          <w:tcPr>
            <w:tcW w:w="350" w:type="pct"/>
            <w:gridSpan w:val="3"/>
            <w:shd w:val="clear" w:color="auto" w:fill="FFFFFF"/>
          </w:tcPr>
          <w:p w14:paraId="1514E14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-74,9</w:t>
            </w:r>
          </w:p>
        </w:tc>
        <w:tc>
          <w:tcPr>
            <w:tcW w:w="356" w:type="pct"/>
            <w:gridSpan w:val="2"/>
            <w:shd w:val="clear" w:color="auto" w:fill="FFFFFF"/>
          </w:tcPr>
          <w:p w14:paraId="5D13FA86"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-73,2</w:t>
            </w:r>
          </w:p>
        </w:tc>
        <w:tc>
          <w:tcPr>
            <w:tcW w:w="330" w:type="pct"/>
            <w:gridSpan w:val="2"/>
            <w:shd w:val="clear" w:color="auto" w:fill="FFFFFF"/>
          </w:tcPr>
          <w:p w14:paraId="627EBF51"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-79</w:t>
            </w:r>
          </w:p>
        </w:tc>
        <w:tc>
          <w:tcPr>
            <w:tcW w:w="365" w:type="pct"/>
            <w:shd w:val="clear" w:color="auto" w:fill="FFFFFF"/>
          </w:tcPr>
          <w:p w14:paraId="337E820F"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-78,8</w:t>
            </w:r>
          </w:p>
        </w:tc>
        <w:tc>
          <w:tcPr>
            <w:tcW w:w="470" w:type="pct"/>
            <w:shd w:val="clear" w:color="auto" w:fill="FFFFFF"/>
          </w:tcPr>
          <w:p w14:paraId="1750480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-441,3</w:t>
            </w:r>
          </w:p>
        </w:tc>
      </w:tr>
      <w:tr w:rsidR="002F6B0A" w:rsidRPr="00DA60BA" w14:paraId="467222BE" w14:textId="77777777" w:rsidTr="002F6B0A">
        <w:trPr>
          <w:trHeight w:val="330"/>
        </w:trPr>
        <w:tc>
          <w:tcPr>
            <w:tcW w:w="978" w:type="pct"/>
            <w:gridSpan w:val="3"/>
            <w:shd w:val="clear" w:color="auto" w:fill="FFFFFF"/>
          </w:tcPr>
          <w:p w14:paraId="6A578860" w14:textId="77777777" w:rsidR="00E559DE" w:rsidRPr="00DA60BA" w:rsidRDefault="00E559DE" w:rsidP="00E559DE">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budżet państwa – prognozowane oszczędności</w:t>
            </w:r>
          </w:p>
        </w:tc>
        <w:tc>
          <w:tcPr>
            <w:tcW w:w="269" w:type="pct"/>
            <w:gridSpan w:val="2"/>
            <w:shd w:val="clear" w:color="auto" w:fill="FFFFFF"/>
          </w:tcPr>
          <w:p w14:paraId="3B17ADB5"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0</w:t>
            </w:r>
          </w:p>
        </w:tc>
        <w:tc>
          <w:tcPr>
            <w:tcW w:w="278" w:type="pct"/>
            <w:shd w:val="clear" w:color="auto" w:fill="FFFFFF"/>
          </w:tcPr>
          <w:p w14:paraId="166FC2A3"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0</w:t>
            </w:r>
          </w:p>
        </w:tc>
        <w:tc>
          <w:tcPr>
            <w:tcW w:w="350" w:type="pct"/>
            <w:gridSpan w:val="4"/>
            <w:shd w:val="clear" w:color="auto" w:fill="FFFFFF"/>
          </w:tcPr>
          <w:p w14:paraId="588A9E70" w14:textId="77777777" w:rsidR="00E559DE" w:rsidRPr="000A3661" w:rsidRDefault="002F6B0A" w:rsidP="002F6B0A">
            <w:pPr>
              <w:spacing w:after="0" w:line="276" w:lineRule="auto"/>
              <w:rPr>
                <w:rFonts w:ascii="Times New Roman" w:eastAsia="Calibri" w:hAnsi="Times New Roman" w:cs="Times New Roman"/>
                <w:sz w:val="16"/>
                <w:szCs w:val="16"/>
              </w:rPr>
            </w:pPr>
            <w:r>
              <w:rPr>
                <w:rFonts w:ascii="Times New Roman" w:hAnsi="Times New Roman" w:cs="Times New Roman"/>
                <w:sz w:val="16"/>
              </w:rPr>
              <w:t xml:space="preserve"> </w:t>
            </w:r>
            <w:r w:rsidR="00E559DE" w:rsidRPr="00571989">
              <w:rPr>
                <w:rFonts w:ascii="Times New Roman" w:hAnsi="Times New Roman" w:cs="Times New Roman"/>
                <w:sz w:val="16"/>
              </w:rPr>
              <w:t>-102,2</w:t>
            </w:r>
          </w:p>
        </w:tc>
        <w:tc>
          <w:tcPr>
            <w:tcW w:w="288" w:type="pct"/>
            <w:shd w:val="clear" w:color="auto" w:fill="FFFFFF"/>
          </w:tcPr>
          <w:p w14:paraId="58ED0381"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-88,6</w:t>
            </w:r>
          </w:p>
        </w:tc>
        <w:tc>
          <w:tcPr>
            <w:tcW w:w="340" w:type="pct"/>
            <w:gridSpan w:val="2"/>
            <w:shd w:val="clear" w:color="auto" w:fill="FFFFFF"/>
          </w:tcPr>
          <w:p w14:paraId="17AC5D62"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-101,7</w:t>
            </w:r>
          </w:p>
        </w:tc>
        <w:tc>
          <w:tcPr>
            <w:tcW w:w="352" w:type="pct"/>
            <w:gridSpan w:val="3"/>
            <w:shd w:val="clear" w:color="auto" w:fill="FFFFFF"/>
          </w:tcPr>
          <w:p w14:paraId="4A873332"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-103,1</w:t>
            </w:r>
          </w:p>
        </w:tc>
        <w:tc>
          <w:tcPr>
            <w:tcW w:w="274" w:type="pct"/>
            <w:gridSpan w:val="2"/>
            <w:shd w:val="clear" w:color="auto" w:fill="FFFFFF"/>
          </w:tcPr>
          <w:p w14:paraId="3FC3E0A7"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-104,7</w:t>
            </w:r>
          </w:p>
        </w:tc>
        <w:tc>
          <w:tcPr>
            <w:tcW w:w="350" w:type="pct"/>
            <w:gridSpan w:val="3"/>
            <w:shd w:val="clear" w:color="auto" w:fill="FFFFFF"/>
          </w:tcPr>
          <w:p w14:paraId="588E3830"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-106,5</w:t>
            </w:r>
          </w:p>
        </w:tc>
        <w:tc>
          <w:tcPr>
            <w:tcW w:w="356" w:type="pct"/>
            <w:gridSpan w:val="2"/>
            <w:shd w:val="clear" w:color="auto" w:fill="FFFFFF"/>
          </w:tcPr>
          <w:p w14:paraId="630E7B40"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-108,6</w:t>
            </w:r>
          </w:p>
        </w:tc>
        <w:tc>
          <w:tcPr>
            <w:tcW w:w="330" w:type="pct"/>
            <w:gridSpan w:val="2"/>
            <w:shd w:val="clear" w:color="auto" w:fill="FFFFFF"/>
          </w:tcPr>
          <w:p w14:paraId="3D9B4315"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-111,1</w:t>
            </w:r>
          </w:p>
        </w:tc>
        <w:tc>
          <w:tcPr>
            <w:tcW w:w="365" w:type="pct"/>
            <w:shd w:val="clear" w:color="auto" w:fill="FFFFFF"/>
          </w:tcPr>
          <w:p w14:paraId="086947A3"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-111,1</w:t>
            </w:r>
          </w:p>
        </w:tc>
        <w:tc>
          <w:tcPr>
            <w:tcW w:w="470" w:type="pct"/>
            <w:shd w:val="clear" w:color="auto" w:fill="FFFFFF"/>
          </w:tcPr>
          <w:p w14:paraId="49EDE4DF" w14:textId="77777777" w:rsidR="00E559DE" w:rsidRPr="000A3661" w:rsidRDefault="00E559DE" w:rsidP="00E559DE">
            <w:pPr>
              <w:spacing w:after="0" w:line="276" w:lineRule="auto"/>
              <w:jc w:val="right"/>
              <w:rPr>
                <w:rFonts w:ascii="Times New Roman" w:eastAsia="Calibri" w:hAnsi="Times New Roman" w:cs="Times New Roman"/>
                <w:b/>
                <w:sz w:val="16"/>
                <w:szCs w:val="16"/>
              </w:rPr>
            </w:pPr>
            <w:r w:rsidRPr="00571989">
              <w:rPr>
                <w:rFonts w:ascii="Times New Roman" w:hAnsi="Times New Roman" w:cs="Times New Roman"/>
                <w:sz w:val="16"/>
              </w:rPr>
              <w:t>-937,6</w:t>
            </w:r>
          </w:p>
        </w:tc>
      </w:tr>
      <w:tr w:rsidR="002F6B0A" w:rsidRPr="00DA60BA" w14:paraId="77D6F082" w14:textId="77777777" w:rsidTr="002F6B0A">
        <w:trPr>
          <w:trHeight w:val="330"/>
        </w:trPr>
        <w:tc>
          <w:tcPr>
            <w:tcW w:w="978" w:type="pct"/>
            <w:gridSpan w:val="3"/>
            <w:shd w:val="clear" w:color="auto" w:fill="FFFFFF"/>
          </w:tcPr>
          <w:p w14:paraId="23ABA3CC" w14:textId="77777777" w:rsidR="00E559DE" w:rsidRPr="00DA60BA" w:rsidRDefault="00E559DE" w:rsidP="00E559DE">
            <w:pPr>
              <w:spacing w:after="0" w:line="276" w:lineRule="auto"/>
              <w:jc w:val="both"/>
              <w:rPr>
                <w:rFonts w:ascii="Times New Roman" w:eastAsia="Calibri" w:hAnsi="Times New Roman" w:cs="Times New Roman"/>
              </w:rPr>
            </w:pPr>
            <w:r w:rsidRPr="00DA60BA">
              <w:rPr>
                <w:rFonts w:ascii="Times New Roman" w:eastAsia="Calibri" w:hAnsi="Times New Roman" w:cs="Times New Roman"/>
                <w:sz w:val="21"/>
              </w:rPr>
              <w:t>budżet państwa-nakłady inwestycyjne, koszty operacyjne</w:t>
            </w:r>
          </w:p>
        </w:tc>
        <w:tc>
          <w:tcPr>
            <w:tcW w:w="269" w:type="pct"/>
            <w:gridSpan w:val="2"/>
            <w:shd w:val="clear" w:color="auto" w:fill="FFFFFF"/>
          </w:tcPr>
          <w:p w14:paraId="0AB79B9C"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8,3</w:t>
            </w:r>
          </w:p>
        </w:tc>
        <w:tc>
          <w:tcPr>
            <w:tcW w:w="278" w:type="pct"/>
            <w:shd w:val="clear" w:color="auto" w:fill="FFFFFF"/>
          </w:tcPr>
          <w:p w14:paraId="40D962A0"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99,4</w:t>
            </w:r>
          </w:p>
        </w:tc>
        <w:tc>
          <w:tcPr>
            <w:tcW w:w="350" w:type="pct"/>
            <w:gridSpan w:val="4"/>
            <w:shd w:val="clear" w:color="auto" w:fill="FFFFFF"/>
          </w:tcPr>
          <w:p w14:paraId="6EA95B61"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64,2</w:t>
            </w:r>
          </w:p>
        </w:tc>
        <w:tc>
          <w:tcPr>
            <w:tcW w:w="288" w:type="pct"/>
            <w:shd w:val="clear" w:color="auto" w:fill="FFFFFF"/>
          </w:tcPr>
          <w:p w14:paraId="72238E79"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41,9</w:t>
            </w:r>
          </w:p>
        </w:tc>
        <w:tc>
          <w:tcPr>
            <w:tcW w:w="340" w:type="pct"/>
            <w:gridSpan w:val="2"/>
            <w:shd w:val="clear" w:color="auto" w:fill="FFFFFF"/>
          </w:tcPr>
          <w:p w14:paraId="591DAA12"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31,0</w:t>
            </w:r>
          </w:p>
        </w:tc>
        <w:tc>
          <w:tcPr>
            <w:tcW w:w="352" w:type="pct"/>
            <w:gridSpan w:val="3"/>
            <w:shd w:val="clear" w:color="auto" w:fill="FFFFFF"/>
          </w:tcPr>
          <w:p w14:paraId="621266F4"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31,2</w:t>
            </w:r>
          </w:p>
        </w:tc>
        <w:tc>
          <w:tcPr>
            <w:tcW w:w="274" w:type="pct"/>
            <w:gridSpan w:val="2"/>
            <w:shd w:val="clear" w:color="auto" w:fill="FFFFFF"/>
          </w:tcPr>
          <w:p w14:paraId="7704867D"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88,9</w:t>
            </w:r>
          </w:p>
        </w:tc>
        <w:tc>
          <w:tcPr>
            <w:tcW w:w="350" w:type="pct"/>
            <w:gridSpan w:val="3"/>
            <w:shd w:val="clear" w:color="auto" w:fill="FFFFFF"/>
          </w:tcPr>
          <w:p w14:paraId="03A8602D"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31,6</w:t>
            </w:r>
          </w:p>
        </w:tc>
        <w:tc>
          <w:tcPr>
            <w:tcW w:w="356" w:type="pct"/>
            <w:gridSpan w:val="2"/>
            <w:shd w:val="clear" w:color="auto" w:fill="FFFFFF"/>
          </w:tcPr>
          <w:p w14:paraId="6D7E4E13"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35,4</w:t>
            </w:r>
          </w:p>
        </w:tc>
        <w:tc>
          <w:tcPr>
            <w:tcW w:w="330" w:type="pct"/>
            <w:gridSpan w:val="2"/>
            <w:shd w:val="clear" w:color="auto" w:fill="FFFFFF"/>
          </w:tcPr>
          <w:p w14:paraId="218623CB"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32,1</w:t>
            </w:r>
          </w:p>
        </w:tc>
        <w:tc>
          <w:tcPr>
            <w:tcW w:w="365" w:type="pct"/>
            <w:shd w:val="clear" w:color="auto" w:fill="FFFFFF"/>
          </w:tcPr>
          <w:p w14:paraId="3217E403"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32,3</w:t>
            </w:r>
          </w:p>
        </w:tc>
        <w:tc>
          <w:tcPr>
            <w:tcW w:w="470" w:type="pct"/>
            <w:shd w:val="clear" w:color="auto" w:fill="FFFFFF"/>
          </w:tcPr>
          <w:p w14:paraId="59930295" w14:textId="77777777"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496,3</w:t>
            </w:r>
          </w:p>
        </w:tc>
      </w:tr>
      <w:tr w:rsidR="002F6B0A" w:rsidRPr="00DA60BA" w14:paraId="689242FD" w14:textId="77777777" w:rsidTr="002F6B0A">
        <w:trPr>
          <w:trHeight w:val="351"/>
        </w:trPr>
        <w:tc>
          <w:tcPr>
            <w:tcW w:w="978" w:type="pct"/>
            <w:gridSpan w:val="3"/>
            <w:shd w:val="clear" w:color="auto" w:fill="FFFFFF"/>
            <w:vAlign w:val="center"/>
          </w:tcPr>
          <w:p w14:paraId="0BD59807"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69" w:type="pct"/>
            <w:gridSpan w:val="2"/>
            <w:shd w:val="clear" w:color="auto" w:fill="FFFFFF"/>
          </w:tcPr>
          <w:p w14:paraId="1C35EE21"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14:paraId="5BFD3A8F"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1CBC603C"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14:paraId="01C4A0F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6F5EC11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2121BDFD"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2682536D"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70C73F2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26CDE095"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432D76E4"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14:paraId="4236DC99"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14:paraId="4DB9B645"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14:paraId="03CA2688" w14:textId="77777777" w:rsidTr="002F6B0A">
        <w:trPr>
          <w:trHeight w:val="351"/>
        </w:trPr>
        <w:tc>
          <w:tcPr>
            <w:tcW w:w="978" w:type="pct"/>
            <w:gridSpan w:val="3"/>
            <w:shd w:val="clear" w:color="auto" w:fill="FFFFFF"/>
            <w:vAlign w:val="center"/>
          </w:tcPr>
          <w:p w14:paraId="4E20E084" w14:textId="77777777" w:rsidR="00E559DE" w:rsidRPr="00DA60BA" w:rsidRDefault="00E559DE" w:rsidP="00E559DE">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pozostałe jednostki (oddzielnie)</w:t>
            </w:r>
          </w:p>
        </w:tc>
        <w:tc>
          <w:tcPr>
            <w:tcW w:w="269" w:type="pct"/>
            <w:gridSpan w:val="2"/>
            <w:shd w:val="clear" w:color="auto" w:fill="FFFFFF"/>
          </w:tcPr>
          <w:p w14:paraId="5E52046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278" w:type="pct"/>
            <w:shd w:val="clear" w:color="auto" w:fill="FFFFFF"/>
          </w:tcPr>
          <w:p w14:paraId="0B8035E5"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0" w:type="pct"/>
            <w:gridSpan w:val="4"/>
            <w:shd w:val="clear" w:color="auto" w:fill="FFFFFF"/>
          </w:tcPr>
          <w:p w14:paraId="50A04E6F"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288" w:type="pct"/>
            <w:shd w:val="clear" w:color="auto" w:fill="FFFFFF"/>
          </w:tcPr>
          <w:p w14:paraId="30EDD3A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40" w:type="pct"/>
            <w:gridSpan w:val="2"/>
            <w:shd w:val="clear" w:color="auto" w:fill="FFFFFF"/>
          </w:tcPr>
          <w:p w14:paraId="2EDDE45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2" w:type="pct"/>
            <w:gridSpan w:val="3"/>
            <w:shd w:val="clear" w:color="auto" w:fill="FFFFFF"/>
          </w:tcPr>
          <w:p w14:paraId="118DD7A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274" w:type="pct"/>
            <w:gridSpan w:val="2"/>
            <w:shd w:val="clear" w:color="auto" w:fill="FFFFFF"/>
          </w:tcPr>
          <w:p w14:paraId="09976A7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0" w:type="pct"/>
            <w:gridSpan w:val="3"/>
            <w:shd w:val="clear" w:color="auto" w:fill="FFFFFF"/>
          </w:tcPr>
          <w:p w14:paraId="10DC9C5F"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6" w:type="pct"/>
            <w:gridSpan w:val="2"/>
            <w:shd w:val="clear" w:color="auto" w:fill="FFFFFF"/>
          </w:tcPr>
          <w:p w14:paraId="7A679803"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30" w:type="pct"/>
            <w:gridSpan w:val="2"/>
            <w:shd w:val="clear" w:color="auto" w:fill="FFFFFF"/>
          </w:tcPr>
          <w:p w14:paraId="733FB16F"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65" w:type="pct"/>
            <w:shd w:val="clear" w:color="auto" w:fill="FFFFFF"/>
          </w:tcPr>
          <w:p w14:paraId="6D86E363"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470" w:type="pct"/>
            <w:shd w:val="clear" w:color="auto" w:fill="FFFFFF"/>
          </w:tcPr>
          <w:p w14:paraId="6ACE34B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0</w:t>
            </w:r>
          </w:p>
        </w:tc>
      </w:tr>
      <w:tr w:rsidR="002F6B0A" w:rsidRPr="00DA60BA" w14:paraId="4719FC96" w14:textId="77777777" w:rsidTr="002F6B0A">
        <w:trPr>
          <w:trHeight w:val="360"/>
        </w:trPr>
        <w:tc>
          <w:tcPr>
            <w:tcW w:w="978" w:type="pct"/>
            <w:gridSpan w:val="3"/>
            <w:shd w:val="clear" w:color="auto" w:fill="FFFFFF"/>
            <w:vAlign w:val="center"/>
          </w:tcPr>
          <w:p w14:paraId="7D34EA39"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Saldo ogółem</w:t>
            </w:r>
          </w:p>
        </w:tc>
        <w:tc>
          <w:tcPr>
            <w:tcW w:w="269" w:type="pct"/>
            <w:gridSpan w:val="2"/>
            <w:shd w:val="clear" w:color="auto" w:fill="FFFFFF"/>
          </w:tcPr>
          <w:p w14:paraId="720A7D19"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8,3</w:t>
            </w:r>
          </w:p>
        </w:tc>
        <w:tc>
          <w:tcPr>
            <w:tcW w:w="278" w:type="pct"/>
            <w:shd w:val="clear" w:color="auto" w:fill="FFFFFF"/>
          </w:tcPr>
          <w:p w14:paraId="176E139B"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99,4</w:t>
            </w:r>
          </w:p>
        </w:tc>
        <w:tc>
          <w:tcPr>
            <w:tcW w:w="350" w:type="pct"/>
            <w:gridSpan w:val="4"/>
            <w:shd w:val="clear" w:color="auto" w:fill="FFFFFF"/>
          </w:tcPr>
          <w:p w14:paraId="74F2EDF5"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-38</w:t>
            </w:r>
          </w:p>
        </w:tc>
        <w:tc>
          <w:tcPr>
            <w:tcW w:w="288" w:type="pct"/>
            <w:shd w:val="clear" w:color="auto" w:fill="FFFFFF"/>
          </w:tcPr>
          <w:p w14:paraId="269FC93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-46,7</w:t>
            </w:r>
          </w:p>
        </w:tc>
        <w:tc>
          <w:tcPr>
            <w:tcW w:w="340" w:type="pct"/>
            <w:gridSpan w:val="2"/>
            <w:shd w:val="clear" w:color="auto" w:fill="FFFFFF"/>
          </w:tcPr>
          <w:p w14:paraId="5AF7FF1A"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-70,7</w:t>
            </w:r>
          </w:p>
        </w:tc>
        <w:tc>
          <w:tcPr>
            <w:tcW w:w="352" w:type="pct"/>
            <w:gridSpan w:val="3"/>
            <w:shd w:val="clear" w:color="auto" w:fill="FFFFFF"/>
          </w:tcPr>
          <w:p w14:paraId="77026F65"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-71,9</w:t>
            </w:r>
          </w:p>
        </w:tc>
        <w:tc>
          <w:tcPr>
            <w:tcW w:w="274" w:type="pct"/>
            <w:gridSpan w:val="2"/>
            <w:shd w:val="clear" w:color="auto" w:fill="FFFFFF"/>
          </w:tcPr>
          <w:p w14:paraId="3378658F"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-15,8</w:t>
            </w:r>
          </w:p>
        </w:tc>
        <w:tc>
          <w:tcPr>
            <w:tcW w:w="350" w:type="pct"/>
            <w:gridSpan w:val="3"/>
            <w:shd w:val="clear" w:color="auto" w:fill="FFFFFF"/>
          </w:tcPr>
          <w:p w14:paraId="2CDD0022"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-74,9</w:t>
            </w:r>
          </w:p>
        </w:tc>
        <w:tc>
          <w:tcPr>
            <w:tcW w:w="356" w:type="pct"/>
            <w:gridSpan w:val="2"/>
            <w:shd w:val="clear" w:color="auto" w:fill="FFFFFF"/>
          </w:tcPr>
          <w:p w14:paraId="355AE262"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-73,2</w:t>
            </w:r>
          </w:p>
        </w:tc>
        <w:tc>
          <w:tcPr>
            <w:tcW w:w="330" w:type="pct"/>
            <w:gridSpan w:val="2"/>
            <w:shd w:val="clear" w:color="auto" w:fill="FFFFFF"/>
          </w:tcPr>
          <w:p w14:paraId="7AAB8EC2"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-79</w:t>
            </w:r>
          </w:p>
        </w:tc>
        <w:tc>
          <w:tcPr>
            <w:tcW w:w="365" w:type="pct"/>
            <w:shd w:val="clear" w:color="auto" w:fill="FFFFFF"/>
          </w:tcPr>
          <w:p w14:paraId="22909B6B"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-78,8</w:t>
            </w:r>
          </w:p>
        </w:tc>
        <w:tc>
          <w:tcPr>
            <w:tcW w:w="470" w:type="pct"/>
            <w:shd w:val="clear" w:color="auto" w:fill="FFFFFF"/>
          </w:tcPr>
          <w:p w14:paraId="20A723ED"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-441,3</w:t>
            </w:r>
          </w:p>
        </w:tc>
      </w:tr>
      <w:tr w:rsidR="002F6B0A" w:rsidRPr="00DA60BA" w14:paraId="596E1C27" w14:textId="77777777" w:rsidTr="002F6B0A">
        <w:trPr>
          <w:trHeight w:val="360"/>
        </w:trPr>
        <w:tc>
          <w:tcPr>
            <w:tcW w:w="978" w:type="pct"/>
            <w:gridSpan w:val="3"/>
            <w:shd w:val="clear" w:color="auto" w:fill="FFFFFF"/>
            <w:vAlign w:val="center"/>
          </w:tcPr>
          <w:p w14:paraId="4AFBD6E4"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budżet państwa</w:t>
            </w:r>
          </w:p>
        </w:tc>
        <w:tc>
          <w:tcPr>
            <w:tcW w:w="269" w:type="pct"/>
            <w:gridSpan w:val="2"/>
            <w:shd w:val="clear" w:color="auto" w:fill="FFFFFF"/>
          </w:tcPr>
          <w:p w14:paraId="3A6FBED9"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8,3</w:t>
            </w:r>
          </w:p>
        </w:tc>
        <w:tc>
          <w:tcPr>
            <w:tcW w:w="278" w:type="pct"/>
            <w:shd w:val="clear" w:color="auto" w:fill="FFFFFF"/>
          </w:tcPr>
          <w:p w14:paraId="6BF95263"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99,4</w:t>
            </w:r>
          </w:p>
        </w:tc>
        <w:tc>
          <w:tcPr>
            <w:tcW w:w="350" w:type="pct"/>
            <w:gridSpan w:val="4"/>
            <w:shd w:val="clear" w:color="auto" w:fill="FFFFFF"/>
          </w:tcPr>
          <w:p w14:paraId="56DA8BB6"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-38</w:t>
            </w:r>
          </w:p>
        </w:tc>
        <w:tc>
          <w:tcPr>
            <w:tcW w:w="288" w:type="pct"/>
            <w:shd w:val="clear" w:color="auto" w:fill="FFFFFF"/>
          </w:tcPr>
          <w:p w14:paraId="192EA6C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-46,7</w:t>
            </w:r>
          </w:p>
        </w:tc>
        <w:tc>
          <w:tcPr>
            <w:tcW w:w="340" w:type="pct"/>
            <w:gridSpan w:val="2"/>
            <w:shd w:val="clear" w:color="auto" w:fill="FFFFFF"/>
          </w:tcPr>
          <w:p w14:paraId="2DBFE13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-70,7</w:t>
            </w:r>
          </w:p>
        </w:tc>
        <w:tc>
          <w:tcPr>
            <w:tcW w:w="352" w:type="pct"/>
            <w:gridSpan w:val="3"/>
            <w:shd w:val="clear" w:color="auto" w:fill="FFFFFF"/>
          </w:tcPr>
          <w:p w14:paraId="353040DE"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-71,9</w:t>
            </w:r>
          </w:p>
        </w:tc>
        <w:tc>
          <w:tcPr>
            <w:tcW w:w="274" w:type="pct"/>
            <w:gridSpan w:val="2"/>
            <w:shd w:val="clear" w:color="auto" w:fill="FFFFFF"/>
          </w:tcPr>
          <w:p w14:paraId="1735537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-15,8</w:t>
            </w:r>
          </w:p>
        </w:tc>
        <w:tc>
          <w:tcPr>
            <w:tcW w:w="350" w:type="pct"/>
            <w:gridSpan w:val="3"/>
            <w:shd w:val="clear" w:color="auto" w:fill="FFFFFF"/>
          </w:tcPr>
          <w:p w14:paraId="73D02617"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-74,9</w:t>
            </w:r>
          </w:p>
        </w:tc>
        <w:tc>
          <w:tcPr>
            <w:tcW w:w="356" w:type="pct"/>
            <w:gridSpan w:val="2"/>
            <w:shd w:val="clear" w:color="auto" w:fill="FFFFFF"/>
          </w:tcPr>
          <w:p w14:paraId="1352381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-73,2</w:t>
            </w:r>
          </w:p>
        </w:tc>
        <w:tc>
          <w:tcPr>
            <w:tcW w:w="330" w:type="pct"/>
            <w:gridSpan w:val="2"/>
            <w:shd w:val="clear" w:color="auto" w:fill="FFFFFF"/>
          </w:tcPr>
          <w:p w14:paraId="543EAE6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-79</w:t>
            </w:r>
          </w:p>
        </w:tc>
        <w:tc>
          <w:tcPr>
            <w:tcW w:w="365" w:type="pct"/>
            <w:shd w:val="clear" w:color="auto" w:fill="FFFFFF"/>
          </w:tcPr>
          <w:p w14:paraId="03B4D24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-78,8</w:t>
            </w:r>
          </w:p>
        </w:tc>
        <w:tc>
          <w:tcPr>
            <w:tcW w:w="470" w:type="pct"/>
            <w:shd w:val="clear" w:color="auto" w:fill="FFFFFF"/>
          </w:tcPr>
          <w:p w14:paraId="4AF2A343"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-441,3</w:t>
            </w:r>
          </w:p>
        </w:tc>
      </w:tr>
      <w:tr w:rsidR="002F6B0A" w:rsidRPr="00DA60BA" w14:paraId="2F9F2216" w14:textId="77777777" w:rsidTr="002F6B0A">
        <w:trPr>
          <w:trHeight w:val="357"/>
        </w:trPr>
        <w:tc>
          <w:tcPr>
            <w:tcW w:w="978" w:type="pct"/>
            <w:gridSpan w:val="3"/>
            <w:shd w:val="clear" w:color="auto" w:fill="FFFFFF"/>
            <w:vAlign w:val="center"/>
          </w:tcPr>
          <w:p w14:paraId="703AE3B3" w14:textId="77777777"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69" w:type="pct"/>
            <w:gridSpan w:val="2"/>
            <w:shd w:val="clear" w:color="auto" w:fill="FFFFFF"/>
          </w:tcPr>
          <w:p w14:paraId="1E3E3A9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14:paraId="5459C649"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1318B0CB"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14:paraId="3543202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6B357226"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7C6910E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65BADD9D"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4CD4AC92"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15ED4365"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4A3F31D0"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14:paraId="7566D446"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14:paraId="04EA67DC" w14:textId="77777777"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14:paraId="49173A93" w14:textId="77777777" w:rsidTr="002F6B0A">
        <w:trPr>
          <w:trHeight w:val="357"/>
        </w:trPr>
        <w:tc>
          <w:tcPr>
            <w:tcW w:w="978" w:type="pct"/>
            <w:gridSpan w:val="3"/>
            <w:shd w:val="clear" w:color="auto" w:fill="FFFFFF"/>
            <w:vAlign w:val="center"/>
          </w:tcPr>
          <w:p w14:paraId="06EB848E" w14:textId="77777777" w:rsidR="00E559DE" w:rsidRPr="00DA60BA" w:rsidRDefault="00E559DE" w:rsidP="00E559DE">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pozostałe jednostki (oddzielnie)</w:t>
            </w:r>
          </w:p>
        </w:tc>
        <w:tc>
          <w:tcPr>
            <w:tcW w:w="269" w:type="pct"/>
            <w:gridSpan w:val="2"/>
            <w:shd w:val="clear" w:color="auto" w:fill="FFFFFF"/>
          </w:tcPr>
          <w:p w14:paraId="1448F7E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14:paraId="4E5B3B39"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14:paraId="1CFBDF89"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14:paraId="05BB5ED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14:paraId="0032304E"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14:paraId="2073DDC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14:paraId="180FF30A"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14:paraId="36EB7D0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14:paraId="032870CE"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14:paraId="417C3A98"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14:paraId="55E0B60E" w14:textId="77777777"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14:paraId="28B529F4" w14:textId="77777777" w:rsidR="00E559DE" w:rsidRPr="000A3661" w:rsidRDefault="00E559DE" w:rsidP="00E559DE">
            <w:pPr>
              <w:spacing w:after="0" w:line="276" w:lineRule="auto"/>
              <w:jc w:val="right"/>
              <w:rPr>
                <w:rFonts w:ascii="Times New Roman" w:eastAsia="Calibri" w:hAnsi="Times New Roman" w:cs="Times New Roman"/>
                <w:bCs/>
                <w:color w:val="000000"/>
                <w:sz w:val="16"/>
                <w:szCs w:val="16"/>
              </w:rPr>
            </w:pPr>
            <w:r w:rsidRPr="00571989">
              <w:rPr>
                <w:rFonts w:ascii="Times New Roman" w:hAnsi="Times New Roman" w:cs="Times New Roman"/>
                <w:sz w:val="16"/>
              </w:rPr>
              <w:t>0</w:t>
            </w:r>
          </w:p>
        </w:tc>
      </w:tr>
      <w:tr w:rsidR="002F6B0A" w:rsidRPr="00DA60BA" w14:paraId="28EBF73E" w14:textId="77777777" w:rsidTr="002F6B0A">
        <w:trPr>
          <w:trHeight w:val="348"/>
        </w:trPr>
        <w:tc>
          <w:tcPr>
            <w:tcW w:w="482" w:type="pct"/>
            <w:shd w:val="clear" w:color="auto" w:fill="FFFFFF"/>
            <w:vAlign w:val="center"/>
          </w:tcPr>
          <w:p w14:paraId="1B2EF77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Źródła finansowania </w:t>
            </w:r>
          </w:p>
        </w:tc>
        <w:tc>
          <w:tcPr>
            <w:tcW w:w="4518" w:type="pct"/>
            <w:gridSpan w:val="26"/>
            <w:shd w:val="clear" w:color="auto" w:fill="FFFFFF"/>
            <w:vAlign w:val="center"/>
          </w:tcPr>
          <w:p w14:paraId="73D75BF3" w14:textId="77777777" w:rsid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Budżet państwa (część 27 – Informatyzacja oraz rezerwa celowa) lub </w:t>
            </w:r>
            <w:r w:rsidR="004A3A34">
              <w:rPr>
                <w:rFonts w:ascii="Times New Roman" w:eastAsia="Calibri" w:hAnsi="Times New Roman" w:cs="Times New Roman"/>
                <w:color w:val="000000"/>
                <w:sz w:val="21"/>
                <w:szCs w:val="21"/>
              </w:rPr>
              <w:t xml:space="preserve">Europejski </w:t>
            </w:r>
            <w:r w:rsidRPr="00DA60BA">
              <w:rPr>
                <w:rFonts w:ascii="Times New Roman" w:eastAsia="Calibri" w:hAnsi="Times New Roman" w:cs="Times New Roman"/>
                <w:color w:val="000000"/>
                <w:sz w:val="21"/>
                <w:szCs w:val="21"/>
              </w:rPr>
              <w:t>Fundusz Rozwoju Regionalnego w ramach Programu Operacyjnego Polska Cyfrowa.</w:t>
            </w:r>
          </w:p>
          <w:p w14:paraId="27EF786F" w14:textId="77777777" w:rsidR="00F2132A" w:rsidRPr="00DA60BA" w:rsidRDefault="00F2132A">
            <w:pPr>
              <w:spacing w:after="0" w:line="240" w:lineRule="auto"/>
              <w:jc w:val="both"/>
              <w:rPr>
                <w:rFonts w:ascii="Times New Roman" w:eastAsia="Calibri" w:hAnsi="Times New Roman" w:cs="Times New Roman"/>
                <w:color w:val="000000"/>
                <w:sz w:val="21"/>
                <w:szCs w:val="21"/>
              </w:rPr>
            </w:pPr>
          </w:p>
        </w:tc>
      </w:tr>
      <w:tr w:rsidR="002F6B0A" w:rsidRPr="00DA60BA" w14:paraId="74B4642D" w14:textId="77777777" w:rsidTr="002F6B0A">
        <w:trPr>
          <w:trHeight w:val="1871"/>
        </w:trPr>
        <w:tc>
          <w:tcPr>
            <w:tcW w:w="482" w:type="pct"/>
            <w:shd w:val="clear" w:color="auto" w:fill="FFFFFF"/>
          </w:tcPr>
          <w:p w14:paraId="7F78D2D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Dodatkowe informacje, w tym wskazanie źródeł danych i przyjęty</w:t>
            </w:r>
            <w:r w:rsidRPr="00DA60BA">
              <w:rPr>
                <w:rFonts w:ascii="Times New Roman" w:eastAsia="Calibri" w:hAnsi="Times New Roman" w:cs="Times New Roman"/>
                <w:color w:val="000000"/>
                <w:sz w:val="21"/>
                <w:szCs w:val="21"/>
              </w:rPr>
              <w:lastRenderedPageBreak/>
              <w:t>ch do obliczeń założeń</w:t>
            </w:r>
          </w:p>
        </w:tc>
        <w:tc>
          <w:tcPr>
            <w:tcW w:w="4518" w:type="pct"/>
            <w:gridSpan w:val="26"/>
            <w:shd w:val="clear" w:color="auto" w:fill="FFFFFF"/>
          </w:tcPr>
          <w:p w14:paraId="593DBA0E"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Wartości nakładów inwestycyjnych oraz kosztów operacyjnych związanych z wdrożeniem komponentów WIIP została oszacowana na podstawie aktualnych ofert rynkowych. Komponenty techniczne oraz niezbędne zasoby organizacyjne zostały oszacowane osobno dla każdego ze strumieni: Rządowej Chmury Obliczeniowej, Rządowego Klastra Bezpieczeństwa oraz Systemu Zapewniania Usług Chmurowych. W przypadku Rządowej Chmury Obliczeniowej założono utrzymanie 30% rezerw w zakresie mocy obliczeniowej oraz dostępnej przestrzeni dyskowej (rok do roku), co pozwoli na skuteczne skalowanie rozwiązania oraz zarządzanie popytem ze strony administracji rządowej.</w:t>
            </w:r>
          </w:p>
          <w:p w14:paraId="3017823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10EBCE6E"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Źródła finansowania w przyjętej perspektywie przedstawiono w poniższej tabeli w podziale na kategorie wydatków (dane w mln zł):</w:t>
            </w:r>
          </w:p>
          <w:p w14:paraId="415AFFE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8008" w:type="dxa"/>
              <w:tblLayout w:type="fixed"/>
              <w:tblCellMar>
                <w:left w:w="70" w:type="dxa"/>
                <w:right w:w="70" w:type="dxa"/>
              </w:tblCellMar>
              <w:tblLook w:val="04A0" w:firstRow="1" w:lastRow="0" w:firstColumn="1" w:lastColumn="0" w:noHBand="0" w:noVBand="1"/>
            </w:tblPr>
            <w:tblGrid>
              <w:gridCol w:w="2576"/>
              <w:gridCol w:w="452"/>
              <w:gridCol w:w="453"/>
              <w:gridCol w:w="453"/>
              <w:gridCol w:w="452"/>
              <w:gridCol w:w="453"/>
              <w:gridCol w:w="453"/>
              <w:gridCol w:w="452"/>
              <w:gridCol w:w="453"/>
              <w:gridCol w:w="453"/>
              <w:gridCol w:w="452"/>
              <w:gridCol w:w="453"/>
              <w:gridCol w:w="453"/>
            </w:tblGrid>
            <w:tr w:rsidR="00E30BDF" w:rsidRPr="000A3661" w14:paraId="6B61462C" w14:textId="77777777" w:rsidTr="00571989">
              <w:trPr>
                <w:trHeight w:val="312"/>
              </w:trPr>
              <w:tc>
                <w:tcPr>
                  <w:tcW w:w="2576" w:type="dxa"/>
                  <w:tcBorders>
                    <w:top w:val="nil"/>
                    <w:left w:val="nil"/>
                    <w:bottom w:val="nil"/>
                    <w:right w:val="nil"/>
                  </w:tcBorders>
                  <w:shd w:val="clear" w:color="000000" w:fill="5B9BD5"/>
                  <w:noWrap/>
                  <w:vAlign w:val="bottom"/>
                  <w:hideMark/>
                </w:tcPr>
                <w:p w14:paraId="5B17B4EE" w14:textId="77777777" w:rsidR="00E30BDF" w:rsidRPr="00571989" w:rsidRDefault="00E30BDF" w:rsidP="00E30BDF">
                  <w:pPr>
                    <w:spacing w:after="0" w:line="240" w:lineRule="auto"/>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Źródła finansowania całkowitych kosztów inicjatywy WIIP</w:t>
                  </w:r>
                </w:p>
              </w:tc>
              <w:tc>
                <w:tcPr>
                  <w:tcW w:w="452" w:type="dxa"/>
                  <w:tcBorders>
                    <w:top w:val="nil"/>
                    <w:left w:val="nil"/>
                    <w:bottom w:val="nil"/>
                    <w:right w:val="nil"/>
                  </w:tcBorders>
                  <w:shd w:val="clear" w:color="000000" w:fill="5B9BD5"/>
                  <w:noWrap/>
                  <w:vAlign w:val="bottom"/>
                  <w:hideMark/>
                </w:tcPr>
                <w:p w14:paraId="3784E5E7"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0</w:t>
                  </w:r>
                </w:p>
              </w:tc>
              <w:tc>
                <w:tcPr>
                  <w:tcW w:w="453" w:type="dxa"/>
                  <w:tcBorders>
                    <w:top w:val="nil"/>
                    <w:left w:val="nil"/>
                    <w:bottom w:val="nil"/>
                    <w:right w:val="nil"/>
                  </w:tcBorders>
                  <w:shd w:val="clear" w:color="000000" w:fill="5B9BD5"/>
                  <w:noWrap/>
                  <w:vAlign w:val="bottom"/>
                  <w:hideMark/>
                </w:tcPr>
                <w:p w14:paraId="0074A7CA"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1</w:t>
                  </w:r>
                </w:p>
              </w:tc>
              <w:tc>
                <w:tcPr>
                  <w:tcW w:w="453" w:type="dxa"/>
                  <w:tcBorders>
                    <w:top w:val="nil"/>
                    <w:left w:val="nil"/>
                    <w:bottom w:val="nil"/>
                    <w:right w:val="nil"/>
                  </w:tcBorders>
                  <w:shd w:val="clear" w:color="000000" w:fill="5B9BD5"/>
                  <w:noWrap/>
                  <w:vAlign w:val="bottom"/>
                  <w:hideMark/>
                </w:tcPr>
                <w:p w14:paraId="16558DD5"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2</w:t>
                  </w:r>
                </w:p>
              </w:tc>
              <w:tc>
                <w:tcPr>
                  <w:tcW w:w="452" w:type="dxa"/>
                  <w:tcBorders>
                    <w:top w:val="nil"/>
                    <w:left w:val="nil"/>
                    <w:bottom w:val="nil"/>
                    <w:right w:val="nil"/>
                  </w:tcBorders>
                  <w:shd w:val="clear" w:color="000000" w:fill="5B9BD5"/>
                  <w:noWrap/>
                  <w:vAlign w:val="bottom"/>
                  <w:hideMark/>
                </w:tcPr>
                <w:p w14:paraId="6B2EE69D"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3</w:t>
                  </w:r>
                </w:p>
              </w:tc>
              <w:tc>
                <w:tcPr>
                  <w:tcW w:w="453" w:type="dxa"/>
                  <w:tcBorders>
                    <w:top w:val="nil"/>
                    <w:left w:val="nil"/>
                    <w:bottom w:val="nil"/>
                    <w:right w:val="nil"/>
                  </w:tcBorders>
                  <w:shd w:val="clear" w:color="000000" w:fill="5B9BD5"/>
                  <w:noWrap/>
                  <w:vAlign w:val="bottom"/>
                  <w:hideMark/>
                </w:tcPr>
                <w:p w14:paraId="01521042"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4</w:t>
                  </w:r>
                </w:p>
              </w:tc>
              <w:tc>
                <w:tcPr>
                  <w:tcW w:w="453" w:type="dxa"/>
                  <w:tcBorders>
                    <w:top w:val="nil"/>
                    <w:left w:val="nil"/>
                    <w:bottom w:val="nil"/>
                    <w:right w:val="nil"/>
                  </w:tcBorders>
                  <w:shd w:val="clear" w:color="000000" w:fill="5B9BD5"/>
                  <w:noWrap/>
                  <w:vAlign w:val="bottom"/>
                  <w:hideMark/>
                </w:tcPr>
                <w:p w14:paraId="44466F8B"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5</w:t>
                  </w:r>
                </w:p>
              </w:tc>
              <w:tc>
                <w:tcPr>
                  <w:tcW w:w="452" w:type="dxa"/>
                  <w:tcBorders>
                    <w:top w:val="nil"/>
                    <w:left w:val="nil"/>
                    <w:bottom w:val="nil"/>
                    <w:right w:val="nil"/>
                  </w:tcBorders>
                  <w:shd w:val="clear" w:color="000000" w:fill="5B9BD5"/>
                  <w:noWrap/>
                  <w:vAlign w:val="bottom"/>
                  <w:hideMark/>
                </w:tcPr>
                <w:p w14:paraId="5D3210D8"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6</w:t>
                  </w:r>
                </w:p>
              </w:tc>
              <w:tc>
                <w:tcPr>
                  <w:tcW w:w="453" w:type="dxa"/>
                  <w:tcBorders>
                    <w:top w:val="nil"/>
                    <w:left w:val="nil"/>
                    <w:bottom w:val="nil"/>
                    <w:right w:val="nil"/>
                  </w:tcBorders>
                  <w:shd w:val="clear" w:color="000000" w:fill="5B9BD5"/>
                  <w:noWrap/>
                  <w:vAlign w:val="bottom"/>
                  <w:hideMark/>
                </w:tcPr>
                <w:p w14:paraId="64BD229B"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7</w:t>
                  </w:r>
                </w:p>
              </w:tc>
              <w:tc>
                <w:tcPr>
                  <w:tcW w:w="453" w:type="dxa"/>
                  <w:tcBorders>
                    <w:top w:val="nil"/>
                    <w:left w:val="nil"/>
                    <w:bottom w:val="nil"/>
                    <w:right w:val="nil"/>
                  </w:tcBorders>
                  <w:shd w:val="clear" w:color="000000" w:fill="5B9BD5"/>
                  <w:noWrap/>
                  <w:vAlign w:val="bottom"/>
                  <w:hideMark/>
                </w:tcPr>
                <w:p w14:paraId="46E582FA"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8</w:t>
                  </w:r>
                </w:p>
              </w:tc>
              <w:tc>
                <w:tcPr>
                  <w:tcW w:w="452" w:type="dxa"/>
                  <w:tcBorders>
                    <w:top w:val="nil"/>
                    <w:left w:val="nil"/>
                    <w:bottom w:val="nil"/>
                    <w:right w:val="nil"/>
                  </w:tcBorders>
                  <w:shd w:val="clear" w:color="000000" w:fill="5B9BD5"/>
                  <w:noWrap/>
                  <w:vAlign w:val="bottom"/>
                  <w:hideMark/>
                </w:tcPr>
                <w:p w14:paraId="6DDE9585"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9</w:t>
                  </w:r>
                </w:p>
              </w:tc>
              <w:tc>
                <w:tcPr>
                  <w:tcW w:w="453" w:type="dxa"/>
                  <w:tcBorders>
                    <w:top w:val="nil"/>
                    <w:left w:val="nil"/>
                    <w:bottom w:val="nil"/>
                    <w:right w:val="nil"/>
                  </w:tcBorders>
                  <w:shd w:val="clear" w:color="000000" w:fill="5B9BD5"/>
                  <w:noWrap/>
                  <w:vAlign w:val="bottom"/>
                  <w:hideMark/>
                </w:tcPr>
                <w:p w14:paraId="0F1B1451" w14:textId="77777777"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10</w:t>
                  </w:r>
                </w:p>
              </w:tc>
              <w:tc>
                <w:tcPr>
                  <w:tcW w:w="453" w:type="dxa"/>
                  <w:tcBorders>
                    <w:top w:val="nil"/>
                    <w:left w:val="nil"/>
                    <w:bottom w:val="nil"/>
                    <w:right w:val="nil"/>
                  </w:tcBorders>
                  <w:shd w:val="clear" w:color="000000" w:fill="5B9BD5"/>
                  <w:noWrap/>
                  <w:vAlign w:val="bottom"/>
                  <w:hideMark/>
                </w:tcPr>
                <w:p w14:paraId="1CE72ACA" w14:textId="77777777" w:rsidR="00E30BDF" w:rsidRPr="00571989" w:rsidRDefault="00E30BDF" w:rsidP="00E30BDF">
                  <w:pPr>
                    <w:spacing w:after="0" w:line="240" w:lineRule="auto"/>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Łącznie (0-10)</w:t>
                  </w:r>
                </w:p>
              </w:tc>
            </w:tr>
            <w:tr w:rsidR="00821B47" w:rsidRPr="000A3661" w14:paraId="5ECA5236" w14:textId="77777777" w:rsidTr="00571989">
              <w:trPr>
                <w:trHeight w:val="312"/>
              </w:trPr>
              <w:tc>
                <w:tcPr>
                  <w:tcW w:w="2576" w:type="dxa"/>
                  <w:tcBorders>
                    <w:top w:val="nil"/>
                    <w:left w:val="nil"/>
                    <w:bottom w:val="nil"/>
                    <w:right w:val="nil"/>
                  </w:tcBorders>
                  <w:shd w:val="clear" w:color="auto" w:fill="auto"/>
                  <w:vAlign w:val="bottom"/>
                  <w:hideMark/>
                </w:tcPr>
                <w:p w14:paraId="0DCDE812" w14:textId="77777777" w:rsidR="00821B47" w:rsidRPr="00571989" w:rsidRDefault="00821B47" w:rsidP="00821B47">
                  <w:pPr>
                    <w:spacing w:after="0" w:line="240" w:lineRule="auto"/>
                    <w:rPr>
                      <w:rFonts w:ascii="Times New Roman" w:eastAsia="Times New Roman" w:hAnsi="Times New Roman" w:cs="Times New Roman"/>
                      <w:b/>
                      <w:bCs/>
                      <w:color w:val="000000"/>
                      <w:sz w:val="12"/>
                      <w:szCs w:val="24"/>
                      <w:lang w:eastAsia="pl-PL"/>
                    </w:rPr>
                  </w:pPr>
                  <w:r w:rsidRPr="00571989">
                    <w:rPr>
                      <w:rFonts w:ascii="Times New Roman" w:eastAsia="Times New Roman" w:hAnsi="Times New Roman" w:cs="Times New Roman"/>
                      <w:b/>
                      <w:bCs/>
                      <w:color w:val="000000"/>
                      <w:sz w:val="12"/>
                      <w:szCs w:val="24"/>
                      <w:lang w:eastAsia="pl-PL"/>
                    </w:rPr>
                    <w:t>Finansowane ze środków budżetu państwa</w:t>
                  </w:r>
                </w:p>
              </w:tc>
              <w:tc>
                <w:tcPr>
                  <w:tcW w:w="452" w:type="dxa"/>
                  <w:tcBorders>
                    <w:top w:val="nil"/>
                    <w:left w:val="nil"/>
                    <w:bottom w:val="nil"/>
                    <w:right w:val="nil"/>
                  </w:tcBorders>
                  <w:shd w:val="clear" w:color="auto" w:fill="auto"/>
                  <w:noWrap/>
                  <w:hideMark/>
                </w:tcPr>
                <w:p w14:paraId="2F4CA52D"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2,2</w:t>
                  </w:r>
                </w:p>
              </w:tc>
              <w:tc>
                <w:tcPr>
                  <w:tcW w:w="453" w:type="dxa"/>
                  <w:tcBorders>
                    <w:top w:val="nil"/>
                    <w:left w:val="nil"/>
                    <w:bottom w:val="nil"/>
                    <w:right w:val="nil"/>
                  </w:tcBorders>
                  <w:shd w:val="clear" w:color="auto" w:fill="auto"/>
                  <w:noWrap/>
                  <w:hideMark/>
                </w:tcPr>
                <w:p w14:paraId="2A697063"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22,0</w:t>
                  </w:r>
                </w:p>
              </w:tc>
              <w:tc>
                <w:tcPr>
                  <w:tcW w:w="453" w:type="dxa"/>
                  <w:tcBorders>
                    <w:top w:val="nil"/>
                    <w:left w:val="nil"/>
                    <w:bottom w:val="nil"/>
                    <w:right w:val="nil"/>
                  </w:tcBorders>
                  <w:shd w:val="clear" w:color="auto" w:fill="auto"/>
                  <w:noWrap/>
                  <w:hideMark/>
                </w:tcPr>
                <w:p w14:paraId="2A0952EB"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25,1</w:t>
                  </w:r>
                </w:p>
              </w:tc>
              <w:tc>
                <w:tcPr>
                  <w:tcW w:w="452" w:type="dxa"/>
                  <w:tcBorders>
                    <w:top w:val="nil"/>
                    <w:left w:val="nil"/>
                    <w:bottom w:val="nil"/>
                    <w:right w:val="nil"/>
                  </w:tcBorders>
                  <w:shd w:val="clear" w:color="auto" w:fill="auto"/>
                  <w:noWrap/>
                  <w:hideMark/>
                </w:tcPr>
                <w:p w14:paraId="42BEC9C1"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34,0</w:t>
                  </w:r>
                </w:p>
              </w:tc>
              <w:tc>
                <w:tcPr>
                  <w:tcW w:w="453" w:type="dxa"/>
                  <w:tcBorders>
                    <w:top w:val="nil"/>
                    <w:left w:val="nil"/>
                    <w:bottom w:val="nil"/>
                    <w:right w:val="nil"/>
                  </w:tcBorders>
                  <w:shd w:val="clear" w:color="auto" w:fill="auto"/>
                  <w:noWrap/>
                  <w:hideMark/>
                </w:tcPr>
                <w:p w14:paraId="2C4EB66C"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31,0</w:t>
                  </w:r>
                </w:p>
              </w:tc>
              <w:tc>
                <w:tcPr>
                  <w:tcW w:w="453" w:type="dxa"/>
                  <w:tcBorders>
                    <w:top w:val="nil"/>
                    <w:left w:val="nil"/>
                    <w:bottom w:val="nil"/>
                    <w:right w:val="nil"/>
                  </w:tcBorders>
                  <w:shd w:val="clear" w:color="auto" w:fill="auto"/>
                  <w:noWrap/>
                  <w:hideMark/>
                </w:tcPr>
                <w:p w14:paraId="62B927BF"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31,2</w:t>
                  </w:r>
                </w:p>
              </w:tc>
              <w:tc>
                <w:tcPr>
                  <w:tcW w:w="452" w:type="dxa"/>
                  <w:tcBorders>
                    <w:top w:val="nil"/>
                    <w:left w:val="nil"/>
                    <w:bottom w:val="nil"/>
                    <w:right w:val="nil"/>
                  </w:tcBorders>
                  <w:shd w:val="clear" w:color="auto" w:fill="auto"/>
                  <w:noWrap/>
                  <w:hideMark/>
                </w:tcPr>
                <w:p w14:paraId="7436B468"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88,9</w:t>
                  </w:r>
                </w:p>
              </w:tc>
              <w:tc>
                <w:tcPr>
                  <w:tcW w:w="453" w:type="dxa"/>
                  <w:tcBorders>
                    <w:top w:val="nil"/>
                    <w:left w:val="nil"/>
                    <w:bottom w:val="nil"/>
                    <w:right w:val="nil"/>
                  </w:tcBorders>
                  <w:shd w:val="clear" w:color="auto" w:fill="auto"/>
                  <w:noWrap/>
                  <w:hideMark/>
                </w:tcPr>
                <w:p w14:paraId="71B3FACE"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31,6</w:t>
                  </w:r>
                </w:p>
              </w:tc>
              <w:tc>
                <w:tcPr>
                  <w:tcW w:w="453" w:type="dxa"/>
                  <w:tcBorders>
                    <w:top w:val="nil"/>
                    <w:left w:val="nil"/>
                    <w:bottom w:val="nil"/>
                    <w:right w:val="nil"/>
                  </w:tcBorders>
                  <w:shd w:val="clear" w:color="auto" w:fill="auto"/>
                  <w:noWrap/>
                  <w:hideMark/>
                </w:tcPr>
                <w:p w14:paraId="20A9A8F3"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35,4</w:t>
                  </w:r>
                </w:p>
              </w:tc>
              <w:tc>
                <w:tcPr>
                  <w:tcW w:w="452" w:type="dxa"/>
                  <w:tcBorders>
                    <w:top w:val="nil"/>
                    <w:left w:val="nil"/>
                    <w:bottom w:val="nil"/>
                    <w:right w:val="nil"/>
                  </w:tcBorders>
                  <w:shd w:val="clear" w:color="auto" w:fill="auto"/>
                  <w:noWrap/>
                  <w:hideMark/>
                </w:tcPr>
                <w:p w14:paraId="27C32C59"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32,1</w:t>
                  </w:r>
                </w:p>
              </w:tc>
              <w:tc>
                <w:tcPr>
                  <w:tcW w:w="453" w:type="dxa"/>
                  <w:tcBorders>
                    <w:top w:val="nil"/>
                    <w:left w:val="nil"/>
                    <w:bottom w:val="nil"/>
                    <w:right w:val="nil"/>
                  </w:tcBorders>
                  <w:shd w:val="clear" w:color="auto" w:fill="auto"/>
                  <w:noWrap/>
                  <w:hideMark/>
                </w:tcPr>
                <w:p w14:paraId="05892369"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32,3</w:t>
                  </w:r>
                </w:p>
              </w:tc>
              <w:tc>
                <w:tcPr>
                  <w:tcW w:w="453" w:type="dxa"/>
                  <w:tcBorders>
                    <w:top w:val="nil"/>
                    <w:left w:val="nil"/>
                    <w:bottom w:val="nil"/>
                    <w:right w:val="nil"/>
                  </w:tcBorders>
                  <w:shd w:val="clear" w:color="auto" w:fill="auto"/>
                  <w:noWrap/>
                  <w:hideMark/>
                </w:tcPr>
                <w:p w14:paraId="792014C9"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365,8</w:t>
                  </w:r>
                </w:p>
              </w:tc>
            </w:tr>
            <w:tr w:rsidR="00821B47" w:rsidRPr="000A3661" w14:paraId="7108C583" w14:textId="77777777" w:rsidTr="00571989">
              <w:trPr>
                <w:trHeight w:val="312"/>
              </w:trPr>
              <w:tc>
                <w:tcPr>
                  <w:tcW w:w="2576" w:type="dxa"/>
                  <w:tcBorders>
                    <w:top w:val="nil"/>
                    <w:left w:val="nil"/>
                    <w:bottom w:val="nil"/>
                    <w:right w:val="nil"/>
                  </w:tcBorders>
                  <w:shd w:val="clear" w:color="auto" w:fill="auto"/>
                  <w:noWrap/>
                  <w:vAlign w:val="bottom"/>
                  <w:hideMark/>
                </w:tcPr>
                <w:p w14:paraId="12C0D0BD" w14:textId="77777777"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r w:rsidRPr="00571989">
                    <w:rPr>
                      <w:rFonts w:ascii="Times New Roman" w:eastAsia="Times New Roman" w:hAnsi="Times New Roman" w:cs="Times New Roman"/>
                      <w:color w:val="000000"/>
                      <w:sz w:val="12"/>
                      <w:szCs w:val="24"/>
                      <w:lang w:eastAsia="pl-PL"/>
                    </w:rPr>
                    <w:t>w tym wkład krajowy (POPC 2.1)</w:t>
                  </w:r>
                </w:p>
              </w:tc>
              <w:tc>
                <w:tcPr>
                  <w:tcW w:w="452" w:type="dxa"/>
                  <w:tcBorders>
                    <w:top w:val="nil"/>
                    <w:left w:val="nil"/>
                    <w:bottom w:val="nil"/>
                    <w:right w:val="nil"/>
                  </w:tcBorders>
                  <w:shd w:val="clear" w:color="auto" w:fill="auto"/>
                  <w:noWrap/>
                  <w:hideMark/>
                </w:tcPr>
                <w:p w14:paraId="0A14A473"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1,3</w:t>
                  </w:r>
                </w:p>
              </w:tc>
              <w:tc>
                <w:tcPr>
                  <w:tcW w:w="453" w:type="dxa"/>
                  <w:tcBorders>
                    <w:top w:val="nil"/>
                    <w:left w:val="nil"/>
                    <w:bottom w:val="nil"/>
                    <w:right w:val="nil"/>
                  </w:tcBorders>
                  <w:shd w:val="clear" w:color="auto" w:fill="auto"/>
                  <w:noWrap/>
                  <w:hideMark/>
                </w:tcPr>
                <w:p w14:paraId="54F595AF"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17,2</w:t>
                  </w:r>
                </w:p>
              </w:tc>
              <w:tc>
                <w:tcPr>
                  <w:tcW w:w="453" w:type="dxa"/>
                  <w:tcBorders>
                    <w:top w:val="nil"/>
                    <w:left w:val="nil"/>
                    <w:bottom w:val="nil"/>
                    <w:right w:val="nil"/>
                  </w:tcBorders>
                  <w:shd w:val="clear" w:color="auto" w:fill="auto"/>
                  <w:noWrap/>
                  <w:hideMark/>
                </w:tcPr>
                <w:p w14:paraId="6C7C4678"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8,7</w:t>
                  </w:r>
                </w:p>
              </w:tc>
              <w:tc>
                <w:tcPr>
                  <w:tcW w:w="452" w:type="dxa"/>
                  <w:tcBorders>
                    <w:top w:val="nil"/>
                    <w:left w:val="nil"/>
                    <w:bottom w:val="nil"/>
                    <w:right w:val="nil"/>
                  </w:tcBorders>
                  <w:shd w:val="clear" w:color="auto" w:fill="auto"/>
                  <w:noWrap/>
                  <w:hideMark/>
                </w:tcPr>
                <w:p w14:paraId="76A85902"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1,7</w:t>
                  </w:r>
                </w:p>
              </w:tc>
              <w:tc>
                <w:tcPr>
                  <w:tcW w:w="453" w:type="dxa"/>
                  <w:tcBorders>
                    <w:top w:val="nil"/>
                    <w:left w:val="nil"/>
                    <w:bottom w:val="nil"/>
                    <w:right w:val="nil"/>
                  </w:tcBorders>
                  <w:shd w:val="clear" w:color="auto" w:fill="auto"/>
                  <w:noWrap/>
                  <w:hideMark/>
                </w:tcPr>
                <w:p w14:paraId="336BA5D4"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43C5727C"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14:paraId="08C5C8EE"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26BA09AF"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4A125365"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14:paraId="3C1614D8"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362A836D"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1800C816"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28,9</w:t>
                  </w:r>
                </w:p>
              </w:tc>
            </w:tr>
            <w:tr w:rsidR="00821B47" w:rsidRPr="000A3661" w14:paraId="241EC403" w14:textId="77777777" w:rsidTr="00571989">
              <w:trPr>
                <w:trHeight w:val="312"/>
              </w:trPr>
              <w:tc>
                <w:tcPr>
                  <w:tcW w:w="2576" w:type="dxa"/>
                  <w:tcBorders>
                    <w:top w:val="nil"/>
                    <w:left w:val="nil"/>
                    <w:bottom w:val="nil"/>
                    <w:right w:val="nil"/>
                  </w:tcBorders>
                  <w:shd w:val="clear" w:color="auto" w:fill="auto"/>
                  <w:noWrap/>
                  <w:vAlign w:val="bottom"/>
                  <w:hideMark/>
                </w:tcPr>
                <w:p w14:paraId="788E2467" w14:textId="77777777"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r w:rsidRPr="00571989">
                    <w:rPr>
                      <w:rFonts w:ascii="Times New Roman" w:eastAsia="Times New Roman" w:hAnsi="Times New Roman" w:cs="Times New Roman"/>
                      <w:color w:val="000000"/>
                      <w:sz w:val="12"/>
                      <w:szCs w:val="24"/>
                      <w:lang w:eastAsia="pl-PL"/>
                    </w:rPr>
                    <w:t>w tym cz. 27 - Informatyzacja (dotacja celowa)</w:t>
                  </w:r>
                </w:p>
              </w:tc>
              <w:tc>
                <w:tcPr>
                  <w:tcW w:w="452" w:type="dxa"/>
                  <w:tcBorders>
                    <w:top w:val="nil"/>
                    <w:left w:val="nil"/>
                    <w:bottom w:val="nil"/>
                    <w:right w:val="nil"/>
                  </w:tcBorders>
                  <w:shd w:val="clear" w:color="auto" w:fill="auto"/>
                  <w:noWrap/>
                  <w:hideMark/>
                </w:tcPr>
                <w:p w14:paraId="00178054"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0,9</w:t>
                  </w:r>
                </w:p>
              </w:tc>
              <w:tc>
                <w:tcPr>
                  <w:tcW w:w="453" w:type="dxa"/>
                  <w:tcBorders>
                    <w:top w:val="nil"/>
                    <w:left w:val="nil"/>
                    <w:bottom w:val="nil"/>
                    <w:right w:val="nil"/>
                  </w:tcBorders>
                  <w:shd w:val="clear" w:color="auto" w:fill="auto"/>
                  <w:noWrap/>
                  <w:hideMark/>
                </w:tcPr>
                <w:p w14:paraId="20A2C233"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1F00F466"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14:paraId="02ACB451"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368E30F0"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07F832CC"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14:paraId="57C16ACA"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322AA771"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29666EA6"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14:paraId="59AF8C8D"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3EAFEA8B"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7DC5B0DB"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0,9</w:t>
                  </w:r>
                </w:p>
              </w:tc>
            </w:tr>
            <w:tr w:rsidR="00821B47" w:rsidRPr="000A3661" w14:paraId="1DB7F216" w14:textId="77777777" w:rsidTr="00571989">
              <w:trPr>
                <w:trHeight w:val="312"/>
              </w:trPr>
              <w:tc>
                <w:tcPr>
                  <w:tcW w:w="2576" w:type="dxa"/>
                  <w:tcBorders>
                    <w:top w:val="nil"/>
                    <w:left w:val="nil"/>
                    <w:bottom w:val="nil"/>
                    <w:right w:val="nil"/>
                  </w:tcBorders>
                  <w:shd w:val="clear" w:color="auto" w:fill="auto"/>
                  <w:noWrap/>
                  <w:vAlign w:val="bottom"/>
                  <w:hideMark/>
                </w:tcPr>
                <w:p w14:paraId="4B5263B5" w14:textId="77777777"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r w:rsidRPr="00571989">
                    <w:rPr>
                      <w:rFonts w:ascii="Times New Roman" w:eastAsia="Times New Roman" w:hAnsi="Times New Roman" w:cs="Times New Roman"/>
                      <w:color w:val="000000"/>
                      <w:sz w:val="12"/>
                      <w:szCs w:val="24"/>
                      <w:lang w:eastAsia="pl-PL"/>
                    </w:rPr>
                    <w:t>w tym cz. 27 - Informatyzacja (rezerwa celowa)</w:t>
                  </w:r>
                </w:p>
              </w:tc>
              <w:tc>
                <w:tcPr>
                  <w:tcW w:w="452" w:type="dxa"/>
                  <w:tcBorders>
                    <w:top w:val="nil"/>
                    <w:left w:val="nil"/>
                    <w:bottom w:val="nil"/>
                    <w:right w:val="nil"/>
                  </w:tcBorders>
                  <w:shd w:val="clear" w:color="auto" w:fill="auto"/>
                  <w:noWrap/>
                  <w:hideMark/>
                </w:tcPr>
                <w:p w14:paraId="32C7EE92"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14:paraId="3B182C62"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4,8</w:t>
                  </w:r>
                </w:p>
              </w:tc>
              <w:tc>
                <w:tcPr>
                  <w:tcW w:w="453" w:type="dxa"/>
                  <w:tcBorders>
                    <w:top w:val="nil"/>
                    <w:left w:val="nil"/>
                    <w:bottom w:val="nil"/>
                    <w:right w:val="nil"/>
                  </w:tcBorders>
                  <w:shd w:val="clear" w:color="auto" w:fill="auto"/>
                  <w:noWrap/>
                  <w:hideMark/>
                </w:tcPr>
                <w:p w14:paraId="296B812C"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16,4</w:t>
                  </w:r>
                </w:p>
              </w:tc>
              <w:tc>
                <w:tcPr>
                  <w:tcW w:w="452" w:type="dxa"/>
                  <w:tcBorders>
                    <w:top w:val="nil"/>
                    <w:left w:val="nil"/>
                    <w:bottom w:val="nil"/>
                    <w:right w:val="nil"/>
                  </w:tcBorders>
                  <w:shd w:val="clear" w:color="auto" w:fill="auto"/>
                  <w:noWrap/>
                  <w:hideMark/>
                </w:tcPr>
                <w:p w14:paraId="1C473919"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32,3</w:t>
                  </w:r>
                </w:p>
              </w:tc>
              <w:tc>
                <w:tcPr>
                  <w:tcW w:w="453" w:type="dxa"/>
                  <w:tcBorders>
                    <w:top w:val="nil"/>
                    <w:left w:val="nil"/>
                    <w:bottom w:val="nil"/>
                    <w:right w:val="nil"/>
                  </w:tcBorders>
                  <w:shd w:val="clear" w:color="auto" w:fill="auto"/>
                  <w:noWrap/>
                  <w:hideMark/>
                </w:tcPr>
                <w:p w14:paraId="73662BD3"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31,0</w:t>
                  </w:r>
                </w:p>
              </w:tc>
              <w:tc>
                <w:tcPr>
                  <w:tcW w:w="453" w:type="dxa"/>
                  <w:tcBorders>
                    <w:top w:val="nil"/>
                    <w:left w:val="nil"/>
                    <w:bottom w:val="nil"/>
                    <w:right w:val="nil"/>
                  </w:tcBorders>
                  <w:shd w:val="clear" w:color="auto" w:fill="auto"/>
                  <w:noWrap/>
                  <w:hideMark/>
                </w:tcPr>
                <w:p w14:paraId="31AC4340"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31,2</w:t>
                  </w:r>
                </w:p>
              </w:tc>
              <w:tc>
                <w:tcPr>
                  <w:tcW w:w="452" w:type="dxa"/>
                  <w:tcBorders>
                    <w:top w:val="nil"/>
                    <w:left w:val="nil"/>
                    <w:bottom w:val="nil"/>
                    <w:right w:val="nil"/>
                  </w:tcBorders>
                  <w:shd w:val="clear" w:color="auto" w:fill="auto"/>
                  <w:noWrap/>
                  <w:hideMark/>
                </w:tcPr>
                <w:p w14:paraId="389CC2FF"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88,9</w:t>
                  </w:r>
                </w:p>
              </w:tc>
              <w:tc>
                <w:tcPr>
                  <w:tcW w:w="453" w:type="dxa"/>
                  <w:tcBorders>
                    <w:top w:val="nil"/>
                    <w:left w:val="nil"/>
                    <w:bottom w:val="nil"/>
                    <w:right w:val="nil"/>
                  </w:tcBorders>
                  <w:shd w:val="clear" w:color="auto" w:fill="auto"/>
                  <w:noWrap/>
                  <w:hideMark/>
                </w:tcPr>
                <w:p w14:paraId="70F174D2"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31,6</w:t>
                  </w:r>
                </w:p>
              </w:tc>
              <w:tc>
                <w:tcPr>
                  <w:tcW w:w="453" w:type="dxa"/>
                  <w:tcBorders>
                    <w:top w:val="nil"/>
                    <w:left w:val="nil"/>
                    <w:bottom w:val="nil"/>
                    <w:right w:val="nil"/>
                  </w:tcBorders>
                  <w:shd w:val="clear" w:color="auto" w:fill="auto"/>
                  <w:noWrap/>
                  <w:hideMark/>
                </w:tcPr>
                <w:p w14:paraId="7A1B815D"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35,4</w:t>
                  </w:r>
                </w:p>
              </w:tc>
              <w:tc>
                <w:tcPr>
                  <w:tcW w:w="452" w:type="dxa"/>
                  <w:tcBorders>
                    <w:top w:val="nil"/>
                    <w:left w:val="nil"/>
                    <w:bottom w:val="nil"/>
                    <w:right w:val="nil"/>
                  </w:tcBorders>
                  <w:shd w:val="clear" w:color="auto" w:fill="auto"/>
                  <w:noWrap/>
                  <w:hideMark/>
                </w:tcPr>
                <w:p w14:paraId="0C3ECE57"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32,1</w:t>
                  </w:r>
                </w:p>
              </w:tc>
              <w:tc>
                <w:tcPr>
                  <w:tcW w:w="453" w:type="dxa"/>
                  <w:tcBorders>
                    <w:top w:val="nil"/>
                    <w:left w:val="nil"/>
                    <w:bottom w:val="nil"/>
                    <w:right w:val="nil"/>
                  </w:tcBorders>
                  <w:shd w:val="clear" w:color="auto" w:fill="auto"/>
                  <w:noWrap/>
                  <w:hideMark/>
                </w:tcPr>
                <w:p w14:paraId="607E9554"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32,3</w:t>
                  </w:r>
                </w:p>
              </w:tc>
              <w:tc>
                <w:tcPr>
                  <w:tcW w:w="453" w:type="dxa"/>
                  <w:tcBorders>
                    <w:top w:val="nil"/>
                    <w:left w:val="nil"/>
                    <w:bottom w:val="nil"/>
                    <w:right w:val="nil"/>
                  </w:tcBorders>
                  <w:shd w:val="clear" w:color="auto" w:fill="auto"/>
                  <w:noWrap/>
                  <w:hideMark/>
                </w:tcPr>
                <w:p w14:paraId="73339A6B"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336,0</w:t>
                  </w:r>
                </w:p>
              </w:tc>
            </w:tr>
            <w:tr w:rsidR="00821B47" w:rsidRPr="000A3661" w14:paraId="7BCC869C" w14:textId="77777777" w:rsidTr="00571989">
              <w:trPr>
                <w:trHeight w:val="312"/>
              </w:trPr>
              <w:tc>
                <w:tcPr>
                  <w:tcW w:w="2576" w:type="dxa"/>
                  <w:tcBorders>
                    <w:top w:val="nil"/>
                    <w:left w:val="nil"/>
                    <w:bottom w:val="nil"/>
                    <w:right w:val="nil"/>
                  </w:tcBorders>
                  <w:shd w:val="clear" w:color="auto" w:fill="auto"/>
                  <w:noWrap/>
                  <w:vAlign w:val="bottom"/>
                  <w:hideMark/>
                </w:tcPr>
                <w:p w14:paraId="34CEE92B" w14:textId="77777777" w:rsidR="00821B47" w:rsidRPr="00571989" w:rsidRDefault="00821B47" w:rsidP="00821B47">
                  <w:pPr>
                    <w:spacing w:after="0" w:line="240" w:lineRule="auto"/>
                    <w:rPr>
                      <w:rFonts w:ascii="Times New Roman" w:eastAsia="Times New Roman" w:hAnsi="Times New Roman" w:cs="Times New Roman"/>
                      <w:b/>
                      <w:bCs/>
                      <w:color w:val="000000"/>
                      <w:sz w:val="12"/>
                      <w:szCs w:val="24"/>
                      <w:lang w:eastAsia="pl-PL"/>
                    </w:rPr>
                  </w:pPr>
                  <w:r w:rsidRPr="00571989">
                    <w:rPr>
                      <w:rFonts w:ascii="Times New Roman" w:eastAsia="Times New Roman" w:hAnsi="Times New Roman" w:cs="Times New Roman"/>
                      <w:b/>
                      <w:bCs/>
                      <w:color w:val="000000"/>
                      <w:sz w:val="12"/>
                      <w:szCs w:val="24"/>
                      <w:lang w:eastAsia="pl-PL"/>
                    </w:rPr>
                    <w:t>Finansowane ze środków UE*</w:t>
                  </w:r>
                </w:p>
              </w:tc>
              <w:tc>
                <w:tcPr>
                  <w:tcW w:w="452" w:type="dxa"/>
                  <w:tcBorders>
                    <w:top w:val="nil"/>
                    <w:left w:val="nil"/>
                    <w:bottom w:val="nil"/>
                    <w:right w:val="nil"/>
                  </w:tcBorders>
                  <w:shd w:val="clear" w:color="auto" w:fill="auto"/>
                  <w:noWrap/>
                  <w:hideMark/>
                </w:tcPr>
                <w:p w14:paraId="00D3F2C9"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7,4</w:t>
                  </w:r>
                </w:p>
              </w:tc>
              <w:tc>
                <w:tcPr>
                  <w:tcW w:w="453" w:type="dxa"/>
                  <w:tcBorders>
                    <w:top w:val="nil"/>
                    <w:left w:val="nil"/>
                    <w:bottom w:val="nil"/>
                    <w:right w:val="nil"/>
                  </w:tcBorders>
                  <w:shd w:val="clear" w:color="auto" w:fill="auto"/>
                  <w:noWrap/>
                  <w:hideMark/>
                </w:tcPr>
                <w:p w14:paraId="5E15CC87"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94,6</w:t>
                  </w:r>
                </w:p>
              </w:tc>
              <w:tc>
                <w:tcPr>
                  <w:tcW w:w="453" w:type="dxa"/>
                  <w:tcBorders>
                    <w:top w:val="nil"/>
                    <w:left w:val="nil"/>
                    <w:bottom w:val="nil"/>
                    <w:right w:val="nil"/>
                  </w:tcBorders>
                  <w:shd w:val="clear" w:color="auto" w:fill="auto"/>
                  <w:noWrap/>
                  <w:hideMark/>
                </w:tcPr>
                <w:p w14:paraId="05544A23"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47,8</w:t>
                  </w:r>
                </w:p>
              </w:tc>
              <w:tc>
                <w:tcPr>
                  <w:tcW w:w="452" w:type="dxa"/>
                  <w:tcBorders>
                    <w:top w:val="nil"/>
                    <w:left w:val="nil"/>
                    <w:bottom w:val="nil"/>
                    <w:right w:val="nil"/>
                  </w:tcBorders>
                  <w:shd w:val="clear" w:color="auto" w:fill="auto"/>
                  <w:noWrap/>
                  <w:hideMark/>
                </w:tcPr>
                <w:p w14:paraId="0DACDFA8"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9,6</w:t>
                  </w:r>
                </w:p>
              </w:tc>
              <w:tc>
                <w:tcPr>
                  <w:tcW w:w="453" w:type="dxa"/>
                  <w:tcBorders>
                    <w:top w:val="nil"/>
                    <w:left w:val="nil"/>
                    <w:bottom w:val="nil"/>
                    <w:right w:val="nil"/>
                  </w:tcBorders>
                  <w:shd w:val="clear" w:color="auto" w:fill="auto"/>
                  <w:noWrap/>
                  <w:hideMark/>
                </w:tcPr>
                <w:p w14:paraId="3C0CF9B0"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58D39D9E"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14:paraId="49529795"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008DF92A"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619C5F0D"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14:paraId="46F768AA"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1C771920"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200BB286"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159,4</w:t>
                  </w:r>
                </w:p>
              </w:tc>
            </w:tr>
            <w:tr w:rsidR="00821B47" w:rsidRPr="000A3661" w14:paraId="61222A92" w14:textId="77777777" w:rsidTr="00571989">
              <w:trPr>
                <w:trHeight w:val="312"/>
              </w:trPr>
              <w:tc>
                <w:tcPr>
                  <w:tcW w:w="2576" w:type="dxa"/>
                  <w:tcBorders>
                    <w:top w:val="nil"/>
                    <w:left w:val="nil"/>
                    <w:bottom w:val="nil"/>
                    <w:right w:val="nil"/>
                  </w:tcBorders>
                  <w:shd w:val="clear" w:color="auto" w:fill="auto"/>
                  <w:noWrap/>
                  <w:vAlign w:val="bottom"/>
                  <w:hideMark/>
                </w:tcPr>
                <w:p w14:paraId="7054F6E5" w14:textId="77777777"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r w:rsidRPr="00571989">
                    <w:rPr>
                      <w:rFonts w:ascii="Times New Roman" w:eastAsia="Times New Roman" w:hAnsi="Times New Roman" w:cs="Times New Roman"/>
                      <w:color w:val="000000"/>
                      <w:sz w:val="12"/>
                      <w:szCs w:val="24"/>
                      <w:lang w:eastAsia="pl-PL"/>
                    </w:rPr>
                    <w:t>w tym EFRR (POPC 2.1)</w:t>
                  </w:r>
                </w:p>
              </w:tc>
              <w:tc>
                <w:tcPr>
                  <w:tcW w:w="452" w:type="dxa"/>
                  <w:tcBorders>
                    <w:top w:val="nil"/>
                    <w:left w:val="nil"/>
                    <w:bottom w:val="nil"/>
                    <w:right w:val="nil"/>
                  </w:tcBorders>
                  <w:shd w:val="clear" w:color="auto" w:fill="auto"/>
                  <w:noWrap/>
                  <w:hideMark/>
                </w:tcPr>
                <w:p w14:paraId="0690A283"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7,4</w:t>
                  </w:r>
                </w:p>
              </w:tc>
              <w:tc>
                <w:tcPr>
                  <w:tcW w:w="453" w:type="dxa"/>
                  <w:tcBorders>
                    <w:top w:val="nil"/>
                    <w:left w:val="nil"/>
                    <w:bottom w:val="nil"/>
                    <w:right w:val="nil"/>
                  </w:tcBorders>
                  <w:shd w:val="clear" w:color="auto" w:fill="auto"/>
                  <w:noWrap/>
                  <w:hideMark/>
                </w:tcPr>
                <w:p w14:paraId="75B71DAE"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94,6</w:t>
                  </w:r>
                </w:p>
              </w:tc>
              <w:tc>
                <w:tcPr>
                  <w:tcW w:w="453" w:type="dxa"/>
                  <w:tcBorders>
                    <w:top w:val="nil"/>
                    <w:left w:val="nil"/>
                    <w:bottom w:val="nil"/>
                    <w:right w:val="nil"/>
                  </w:tcBorders>
                  <w:shd w:val="clear" w:color="auto" w:fill="auto"/>
                  <w:noWrap/>
                  <w:hideMark/>
                </w:tcPr>
                <w:p w14:paraId="0CFA8EDB"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47,8</w:t>
                  </w:r>
                </w:p>
              </w:tc>
              <w:tc>
                <w:tcPr>
                  <w:tcW w:w="452" w:type="dxa"/>
                  <w:tcBorders>
                    <w:top w:val="nil"/>
                    <w:left w:val="nil"/>
                    <w:bottom w:val="nil"/>
                    <w:right w:val="nil"/>
                  </w:tcBorders>
                  <w:shd w:val="clear" w:color="auto" w:fill="auto"/>
                  <w:noWrap/>
                  <w:hideMark/>
                </w:tcPr>
                <w:p w14:paraId="034717BE"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9,6</w:t>
                  </w:r>
                </w:p>
              </w:tc>
              <w:tc>
                <w:tcPr>
                  <w:tcW w:w="453" w:type="dxa"/>
                  <w:tcBorders>
                    <w:top w:val="nil"/>
                    <w:left w:val="nil"/>
                    <w:bottom w:val="nil"/>
                    <w:right w:val="nil"/>
                  </w:tcBorders>
                  <w:shd w:val="clear" w:color="auto" w:fill="auto"/>
                  <w:noWrap/>
                  <w:hideMark/>
                </w:tcPr>
                <w:p w14:paraId="59667FA1"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4C3B38C1"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14:paraId="16FD18DC"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06AF741C"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140614E4"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14:paraId="485C2394"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11CDB9D0" w14:textId="77777777"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14:paraId="1C5E1A43"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159,4</w:t>
                  </w:r>
                </w:p>
              </w:tc>
            </w:tr>
            <w:tr w:rsidR="00821B47" w:rsidRPr="000A3661" w14:paraId="435C2460" w14:textId="77777777" w:rsidTr="00571989">
              <w:trPr>
                <w:trHeight w:val="324"/>
              </w:trPr>
              <w:tc>
                <w:tcPr>
                  <w:tcW w:w="2576" w:type="dxa"/>
                  <w:tcBorders>
                    <w:top w:val="single" w:sz="4" w:space="0" w:color="5B9BD5"/>
                    <w:left w:val="nil"/>
                    <w:bottom w:val="double" w:sz="6" w:space="0" w:color="5B9BD5"/>
                    <w:right w:val="nil"/>
                  </w:tcBorders>
                  <w:shd w:val="clear" w:color="auto" w:fill="auto"/>
                  <w:noWrap/>
                  <w:vAlign w:val="bottom"/>
                  <w:hideMark/>
                </w:tcPr>
                <w:p w14:paraId="76C7FFA6" w14:textId="77777777" w:rsidR="00821B47" w:rsidRPr="00571989" w:rsidRDefault="00821B47" w:rsidP="00821B47">
                  <w:pPr>
                    <w:spacing w:after="0" w:line="240" w:lineRule="auto"/>
                    <w:rPr>
                      <w:rFonts w:ascii="Times New Roman" w:eastAsia="Times New Roman" w:hAnsi="Times New Roman" w:cs="Times New Roman"/>
                      <w:b/>
                      <w:bCs/>
                      <w:color w:val="000000"/>
                      <w:sz w:val="12"/>
                      <w:szCs w:val="24"/>
                      <w:lang w:eastAsia="pl-PL"/>
                    </w:rPr>
                  </w:pPr>
                  <w:r w:rsidRPr="00571989">
                    <w:rPr>
                      <w:rFonts w:ascii="Times New Roman" w:eastAsia="Times New Roman" w:hAnsi="Times New Roman" w:cs="Times New Roman"/>
                      <w:b/>
                      <w:bCs/>
                      <w:color w:val="000000"/>
                      <w:sz w:val="12"/>
                      <w:szCs w:val="24"/>
                      <w:lang w:eastAsia="pl-PL"/>
                    </w:rPr>
                    <w:t>Razem</w:t>
                  </w:r>
                </w:p>
              </w:tc>
              <w:tc>
                <w:tcPr>
                  <w:tcW w:w="452" w:type="dxa"/>
                  <w:tcBorders>
                    <w:top w:val="single" w:sz="4" w:space="0" w:color="5B9BD5"/>
                    <w:left w:val="nil"/>
                    <w:bottom w:val="double" w:sz="6" w:space="0" w:color="5B9BD5"/>
                    <w:right w:val="nil"/>
                  </w:tcBorders>
                  <w:shd w:val="clear" w:color="auto" w:fill="auto"/>
                  <w:noWrap/>
                  <w:hideMark/>
                </w:tcPr>
                <w:p w14:paraId="71A7709F"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9,6</w:t>
                  </w:r>
                </w:p>
              </w:tc>
              <w:tc>
                <w:tcPr>
                  <w:tcW w:w="453" w:type="dxa"/>
                  <w:tcBorders>
                    <w:top w:val="single" w:sz="4" w:space="0" w:color="5B9BD5"/>
                    <w:left w:val="nil"/>
                    <w:bottom w:val="double" w:sz="6" w:space="0" w:color="5B9BD5"/>
                    <w:right w:val="nil"/>
                  </w:tcBorders>
                  <w:shd w:val="clear" w:color="auto" w:fill="auto"/>
                  <w:noWrap/>
                  <w:hideMark/>
                </w:tcPr>
                <w:p w14:paraId="3F988490"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116,6</w:t>
                  </w:r>
                </w:p>
              </w:tc>
              <w:tc>
                <w:tcPr>
                  <w:tcW w:w="453" w:type="dxa"/>
                  <w:tcBorders>
                    <w:top w:val="single" w:sz="4" w:space="0" w:color="5B9BD5"/>
                    <w:left w:val="nil"/>
                    <w:bottom w:val="double" w:sz="6" w:space="0" w:color="5B9BD5"/>
                    <w:right w:val="nil"/>
                  </w:tcBorders>
                  <w:shd w:val="clear" w:color="auto" w:fill="auto"/>
                  <w:noWrap/>
                  <w:hideMark/>
                </w:tcPr>
                <w:p w14:paraId="59226B71"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72,9</w:t>
                  </w:r>
                </w:p>
              </w:tc>
              <w:tc>
                <w:tcPr>
                  <w:tcW w:w="452" w:type="dxa"/>
                  <w:tcBorders>
                    <w:top w:val="single" w:sz="4" w:space="0" w:color="5B9BD5"/>
                    <w:left w:val="nil"/>
                    <w:bottom w:val="double" w:sz="6" w:space="0" w:color="5B9BD5"/>
                    <w:right w:val="nil"/>
                  </w:tcBorders>
                  <w:shd w:val="clear" w:color="auto" w:fill="auto"/>
                  <w:noWrap/>
                  <w:hideMark/>
                </w:tcPr>
                <w:p w14:paraId="1880B3CE"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43,6</w:t>
                  </w:r>
                </w:p>
              </w:tc>
              <w:tc>
                <w:tcPr>
                  <w:tcW w:w="453" w:type="dxa"/>
                  <w:tcBorders>
                    <w:top w:val="single" w:sz="4" w:space="0" w:color="5B9BD5"/>
                    <w:left w:val="nil"/>
                    <w:bottom w:val="double" w:sz="6" w:space="0" w:color="5B9BD5"/>
                    <w:right w:val="nil"/>
                  </w:tcBorders>
                  <w:shd w:val="clear" w:color="auto" w:fill="auto"/>
                  <w:noWrap/>
                  <w:hideMark/>
                </w:tcPr>
                <w:p w14:paraId="1C7EB2F1"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31,0</w:t>
                  </w:r>
                </w:p>
              </w:tc>
              <w:tc>
                <w:tcPr>
                  <w:tcW w:w="453" w:type="dxa"/>
                  <w:tcBorders>
                    <w:top w:val="single" w:sz="4" w:space="0" w:color="5B9BD5"/>
                    <w:left w:val="nil"/>
                    <w:bottom w:val="double" w:sz="6" w:space="0" w:color="5B9BD5"/>
                    <w:right w:val="nil"/>
                  </w:tcBorders>
                  <w:shd w:val="clear" w:color="auto" w:fill="auto"/>
                  <w:noWrap/>
                  <w:hideMark/>
                </w:tcPr>
                <w:p w14:paraId="43A37781"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31,2</w:t>
                  </w:r>
                </w:p>
              </w:tc>
              <w:tc>
                <w:tcPr>
                  <w:tcW w:w="452" w:type="dxa"/>
                  <w:tcBorders>
                    <w:top w:val="single" w:sz="4" w:space="0" w:color="5B9BD5"/>
                    <w:left w:val="nil"/>
                    <w:bottom w:val="double" w:sz="6" w:space="0" w:color="5B9BD5"/>
                    <w:right w:val="nil"/>
                  </w:tcBorders>
                  <w:shd w:val="clear" w:color="auto" w:fill="auto"/>
                  <w:noWrap/>
                  <w:hideMark/>
                </w:tcPr>
                <w:p w14:paraId="712C734A"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88,9</w:t>
                  </w:r>
                </w:p>
              </w:tc>
              <w:tc>
                <w:tcPr>
                  <w:tcW w:w="453" w:type="dxa"/>
                  <w:tcBorders>
                    <w:top w:val="single" w:sz="4" w:space="0" w:color="5B9BD5"/>
                    <w:left w:val="nil"/>
                    <w:bottom w:val="double" w:sz="6" w:space="0" w:color="5B9BD5"/>
                    <w:right w:val="nil"/>
                  </w:tcBorders>
                  <w:shd w:val="clear" w:color="auto" w:fill="auto"/>
                  <w:noWrap/>
                  <w:hideMark/>
                </w:tcPr>
                <w:p w14:paraId="514FDF82"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31,6</w:t>
                  </w:r>
                </w:p>
              </w:tc>
              <w:tc>
                <w:tcPr>
                  <w:tcW w:w="453" w:type="dxa"/>
                  <w:tcBorders>
                    <w:top w:val="single" w:sz="4" w:space="0" w:color="5B9BD5"/>
                    <w:left w:val="nil"/>
                    <w:bottom w:val="double" w:sz="6" w:space="0" w:color="5B9BD5"/>
                    <w:right w:val="nil"/>
                  </w:tcBorders>
                  <w:shd w:val="clear" w:color="auto" w:fill="auto"/>
                  <w:noWrap/>
                  <w:hideMark/>
                </w:tcPr>
                <w:p w14:paraId="003E615C"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35,4</w:t>
                  </w:r>
                </w:p>
              </w:tc>
              <w:tc>
                <w:tcPr>
                  <w:tcW w:w="452" w:type="dxa"/>
                  <w:tcBorders>
                    <w:top w:val="single" w:sz="4" w:space="0" w:color="5B9BD5"/>
                    <w:left w:val="nil"/>
                    <w:bottom w:val="double" w:sz="6" w:space="0" w:color="5B9BD5"/>
                    <w:right w:val="nil"/>
                  </w:tcBorders>
                  <w:shd w:val="clear" w:color="auto" w:fill="auto"/>
                  <w:noWrap/>
                  <w:hideMark/>
                </w:tcPr>
                <w:p w14:paraId="7429C5CF"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32,1</w:t>
                  </w:r>
                </w:p>
              </w:tc>
              <w:tc>
                <w:tcPr>
                  <w:tcW w:w="453" w:type="dxa"/>
                  <w:tcBorders>
                    <w:top w:val="single" w:sz="4" w:space="0" w:color="5B9BD5"/>
                    <w:left w:val="nil"/>
                    <w:bottom w:val="double" w:sz="6" w:space="0" w:color="5B9BD5"/>
                    <w:right w:val="nil"/>
                  </w:tcBorders>
                  <w:shd w:val="clear" w:color="auto" w:fill="auto"/>
                  <w:noWrap/>
                  <w:hideMark/>
                </w:tcPr>
                <w:p w14:paraId="019689AB"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32,3</w:t>
                  </w:r>
                </w:p>
              </w:tc>
              <w:tc>
                <w:tcPr>
                  <w:tcW w:w="453" w:type="dxa"/>
                  <w:tcBorders>
                    <w:top w:val="single" w:sz="4" w:space="0" w:color="5B9BD5"/>
                    <w:left w:val="nil"/>
                    <w:bottom w:val="double" w:sz="6" w:space="0" w:color="5B9BD5"/>
                    <w:right w:val="nil"/>
                  </w:tcBorders>
                  <w:shd w:val="clear" w:color="auto" w:fill="auto"/>
                  <w:noWrap/>
                  <w:hideMark/>
                </w:tcPr>
                <w:p w14:paraId="072C238A" w14:textId="77777777"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525,2</w:t>
                  </w:r>
                </w:p>
              </w:tc>
            </w:tr>
          </w:tbl>
          <w:p w14:paraId="40EC418B" w14:textId="77777777" w:rsidR="00DA60BA" w:rsidRDefault="00BE7A98">
            <w:pPr>
              <w:spacing w:after="0" w:line="240" w:lineRule="auto"/>
              <w:jc w:val="both"/>
              <w:rPr>
                <w:rFonts w:ascii="Times New Roman" w:eastAsia="Calibri" w:hAnsi="Times New Roman" w:cs="Times New Roman"/>
                <w:color w:val="000000"/>
                <w:sz w:val="21"/>
                <w:szCs w:val="21"/>
              </w:rPr>
            </w:pPr>
            <w:r w:rsidRPr="00BE7A98">
              <w:rPr>
                <w:rFonts w:ascii="Times New Roman" w:eastAsia="Calibri" w:hAnsi="Times New Roman" w:cs="Times New Roman"/>
                <w:color w:val="000000"/>
                <w:sz w:val="21"/>
                <w:szCs w:val="21"/>
              </w:rPr>
              <w:t>*</w:t>
            </w:r>
            <w:r>
              <w:rPr>
                <w:rFonts w:ascii="Times New Roman" w:eastAsia="Calibri" w:hAnsi="Times New Roman" w:cs="Times New Roman"/>
                <w:color w:val="000000"/>
                <w:sz w:val="21"/>
                <w:szCs w:val="21"/>
              </w:rPr>
              <w:t xml:space="preserve"> </w:t>
            </w:r>
            <w:r w:rsidRPr="00BE7A98">
              <w:rPr>
                <w:rFonts w:ascii="Times New Roman" w:eastAsia="Calibri" w:hAnsi="Times New Roman" w:cs="Times New Roman"/>
                <w:color w:val="000000"/>
                <w:sz w:val="21"/>
                <w:szCs w:val="21"/>
              </w:rPr>
              <w:t>nakłady w wysokości 159,4 mln zł nie zostały ujęte w tab. 6</w:t>
            </w:r>
            <w:r>
              <w:rPr>
                <w:rFonts w:ascii="Times New Roman" w:eastAsia="Calibri" w:hAnsi="Times New Roman" w:cs="Times New Roman"/>
                <w:color w:val="000000"/>
                <w:sz w:val="21"/>
                <w:szCs w:val="21"/>
              </w:rPr>
              <w:t>.</w:t>
            </w:r>
          </w:p>
          <w:p w14:paraId="429B3861" w14:textId="77777777" w:rsidR="00BE7A98" w:rsidRPr="00571989" w:rsidRDefault="00BE7A98">
            <w:pPr>
              <w:spacing w:after="0" w:line="240" w:lineRule="auto"/>
              <w:jc w:val="both"/>
              <w:rPr>
                <w:rFonts w:ascii="Times New Roman" w:eastAsia="Calibri" w:hAnsi="Times New Roman" w:cs="Times New Roman"/>
                <w:color w:val="000000"/>
                <w:sz w:val="21"/>
                <w:szCs w:val="21"/>
              </w:rPr>
            </w:pPr>
          </w:p>
          <w:p w14:paraId="57CEB4A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tabeli 6. Wpływ na sektor finansów publicznych nie ujęto nakładów inwestycyjnych, które będą finansowane ze środków Europejskiego Funduszu Rozwoju Regionalnego (POPC 2.1).</w:t>
            </w:r>
          </w:p>
          <w:p w14:paraId="2FF48B10"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387A0FB" w14:textId="5604DD39"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Poniżej przedstawiono źródła finasowania </w:t>
            </w:r>
            <w:r w:rsidR="005B2BEF">
              <w:rPr>
                <w:rFonts w:ascii="Times New Roman" w:eastAsia="Calibri" w:hAnsi="Times New Roman" w:cs="Times New Roman"/>
                <w:color w:val="000000"/>
                <w:sz w:val="21"/>
                <w:szCs w:val="21"/>
              </w:rPr>
              <w:t>wydatków</w:t>
            </w:r>
            <w:r w:rsidRPr="00DA60BA">
              <w:rPr>
                <w:rFonts w:ascii="Times New Roman" w:eastAsia="Calibri" w:hAnsi="Times New Roman" w:cs="Times New Roman"/>
                <w:color w:val="000000"/>
                <w:sz w:val="21"/>
                <w:szCs w:val="21"/>
              </w:rPr>
              <w:t xml:space="preserve"> w latach 2019-</w:t>
            </w:r>
            <w:r w:rsidR="005B2BEF" w:rsidRPr="00DA60BA">
              <w:rPr>
                <w:rFonts w:ascii="Times New Roman" w:eastAsia="Calibri" w:hAnsi="Times New Roman" w:cs="Times New Roman"/>
                <w:color w:val="000000"/>
                <w:sz w:val="21"/>
                <w:szCs w:val="21"/>
              </w:rPr>
              <w:t>202</w:t>
            </w:r>
            <w:r w:rsidR="005B2BEF">
              <w:rPr>
                <w:rFonts w:ascii="Times New Roman" w:eastAsia="Calibri" w:hAnsi="Times New Roman" w:cs="Times New Roman"/>
                <w:color w:val="000000"/>
                <w:sz w:val="21"/>
                <w:szCs w:val="21"/>
              </w:rPr>
              <w:t>2</w:t>
            </w:r>
            <w:r w:rsidR="005B2BEF" w:rsidRPr="00DA60BA">
              <w:rPr>
                <w:rFonts w:ascii="Times New Roman" w:eastAsia="Calibri" w:hAnsi="Times New Roman" w:cs="Times New Roman"/>
                <w:color w:val="000000"/>
                <w:sz w:val="21"/>
                <w:szCs w:val="21"/>
              </w:rPr>
              <w:t xml:space="preserve"> </w:t>
            </w:r>
            <w:r w:rsidRPr="00DA60BA">
              <w:rPr>
                <w:rFonts w:ascii="Times New Roman" w:eastAsia="Calibri" w:hAnsi="Times New Roman" w:cs="Times New Roman"/>
                <w:color w:val="000000"/>
                <w:sz w:val="21"/>
                <w:szCs w:val="21"/>
              </w:rPr>
              <w:t>(w mln zł):</w:t>
            </w:r>
          </w:p>
          <w:p w14:paraId="1537918E"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7962" w:type="dxa"/>
              <w:tblLayout w:type="fixed"/>
              <w:tblCellMar>
                <w:left w:w="70" w:type="dxa"/>
                <w:right w:w="70" w:type="dxa"/>
              </w:tblCellMar>
              <w:tblLook w:val="04A0" w:firstRow="1" w:lastRow="0" w:firstColumn="1" w:lastColumn="0" w:noHBand="0" w:noVBand="1"/>
            </w:tblPr>
            <w:tblGrid>
              <w:gridCol w:w="4540"/>
              <w:gridCol w:w="366"/>
              <w:gridCol w:w="764"/>
              <w:gridCol w:w="764"/>
              <w:gridCol w:w="764"/>
              <w:gridCol w:w="764"/>
            </w:tblGrid>
            <w:tr w:rsidR="005B2BEF" w:rsidRPr="000A3661" w14:paraId="0E2E9C4D" w14:textId="77777777" w:rsidTr="00571989">
              <w:trPr>
                <w:trHeight w:val="20"/>
              </w:trPr>
              <w:tc>
                <w:tcPr>
                  <w:tcW w:w="7460" w:type="dxa"/>
                  <w:gridSpan w:val="2"/>
                  <w:tcBorders>
                    <w:top w:val="nil"/>
                    <w:left w:val="nil"/>
                    <w:bottom w:val="nil"/>
                    <w:right w:val="nil"/>
                  </w:tcBorders>
                  <w:shd w:val="clear" w:color="auto" w:fill="auto"/>
                  <w:noWrap/>
                  <w:vAlign w:val="bottom"/>
                  <w:hideMark/>
                </w:tcPr>
                <w:p w14:paraId="0FD7BC4C"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całkowite na realizację projektu WIIP (2019-2022)</w:t>
                  </w:r>
                </w:p>
              </w:tc>
              <w:tc>
                <w:tcPr>
                  <w:tcW w:w="1100" w:type="dxa"/>
                  <w:tcBorders>
                    <w:top w:val="nil"/>
                    <w:left w:val="nil"/>
                    <w:bottom w:val="nil"/>
                    <w:right w:val="nil"/>
                  </w:tcBorders>
                  <w:shd w:val="clear" w:color="auto" w:fill="auto"/>
                  <w:noWrap/>
                  <w:vAlign w:val="bottom"/>
                  <w:hideMark/>
                </w:tcPr>
                <w:p w14:paraId="625F5C91"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p>
              </w:tc>
              <w:tc>
                <w:tcPr>
                  <w:tcW w:w="1100" w:type="dxa"/>
                  <w:tcBorders>
                    <w:top w:val="nil"/>
                    <w:left w:val="nil"/>
                    <w:bottom w:val="nil"/>
                    <w:right w:val="nil"/>
                  </w:tcBorders>
                  <w:shd w:val="clear" w:color="auto" w:fill="auto"/>
                  <w:noWrap/>
                  <w:vAlign w:val="bottom"/>
                  <w:hideMark/>
                </w:tcPr>
                <w:p w14:paraId="7F6EFFE9" w14:textId="77777777" w:rsidR="005B2BEF" w:rsidRPr="00571989" w:rsidRDefault="005B2BEF" w:rsidP="005B2BEF">
                  <w:pPr>
                    <w:spacing w:after="0" w:line="240" w:lineRule="auto"/>
                    <w:rPr>
                      <w:rFonts w:ascii="Times New Roman" w:eastAsia="Times New Roman" w:hAnsi="Times New Roman" w:cs="Times New Roman"/>
                      <w:sz w:val="16"/>
                      <w:szCs w:val="20"/>
                      <w:lang w:eastAsia="pl-PL"/>
                    </w:rPr>
                  </w:pPr>
                </w:p>
              </w:tc>
              <w:tc>
                <w:tcPr>
                  <w:tcW w:w="1100" w:type="dxa"/>
                  <w:tcBorders>
                    <w:top w:val="nil"/>
                    <w:left w:val="nil"/>
                    <w:bottom w:val="nil"/>
                    <w:right w:val="nil"/>
                  </w:tcBorders>
                  <w:shd w:val="clear" w:color="auto" w:fill="auto"/>
                  <w:noWrap/>
                  <w:vAlign w:val="bottom"/>
                  <w:hideMark/>
                </w:tcPr>
                <w:p w14:paraId="605C9AA8" w14:textId="77777777" w:rsidR="005B2BEF" w:rsidRPr="00571989" w:rsidRDefault="005B2BEF" w:rsidP="005B2BEF">
                  <w:pPr>
                    <w:spacing w:after="0" w:line="240" w:lineRule="auto"/>
                    <w:rPr>
                      <w:rFonts w:ascii="Times New Roman" w:eastAsia="Times New Roman" w:hAnsi="Times New Roman" w:cs="Times New Roman"/>
                      <w:sz w:val="16"/>
                      <w:szCs w:val="20"/>
                      <w:lang w:eastAsia="pl-PL"/>
                    </w:rPr>
                  </w:pPr>
                </w:p>
              </w:tc>
              <w:tc>
                <w:tcPr>
                  <w:tcW w:w="1100" w:type="dxa"/>
                  <w:tcBorders>
                    <w:top w:val="nil"/>
                    <w:left w:val="nil"/>
                    <w:bottom w:val="nil"/>
                    <w:right w:val="nil"/>
                  </w:tcBorders>
                  <w:shd w:val="clear" w:color="auto" w:fill="auto"/>
                  <w:noWrap/>
                  <w:vAlign w:val="bottom"/>
                  <w:hideMark/>
                </w:tcPr>
                <w:p w14:paraId="5BA6198A" w14:textId="77777777" w:rsidR="005B2BEF" w:rsidRPr="00571989" w:rsidRDefault="005B2BEF" w:rsidP="005B2BEF">
                  <w:pPr>
                    <w:spacing w:after="0" w:line="240" w:lineRule="auto"/>
                    <w:rPr>
                      <w:rFonts w:ascii="Times New Roman" w:eastAsia="Times New Roman" w:hAnsi="Times New Roman" w:cs="Times New Roman"/>
                      <w:sz w:val="16"/>
                      <w:szCs w:val="20"/>
                      <w:lang w:eastAsia="pl-PL"/>
                    </w:rPr>
                  </w:pPr>
                </w:p>
              </w:tc>
            </w:tr>
            <w:tr w:rsidR="005B2BEF" w:rsidRPr="000A3661" w14:paraId="11B98A9F" w14:textId="77777777" w:rsidTr="000A3661">
              <w:trPr>
                <w:trHeight w:val="20"/>
              </w:trPr>
              <w:tc>
                <w:tcPr>
                  <w:tcW w:w="6980" w:type="dxa"/>
                  <w:tcBorders>
                    <w:top w:val="nil"/>
                    <w:left w:val="nil"/>
                    <w:bottom w:val="nil"/>
                    <w:right w:val="nil"/>
                  </w:tcBorders>
                  <w:shd w:val="clear" w:color="000000" w:fill="5B9BD5"/>
                  <w:noWrap/>
                  <w:vAlign w:val="bottom"/>
                  <w:hideMark/>
                </w:tcPr>
                <w:p w14:paraId="2D2EEF4B" w14:textId="77777777" w:rsidR="005B2BEF" w:rsidRPr="00571989" w:rsidRDefault="005B2BEF" w:rsidP="005B2BEF">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480" w:type="dxa"/>
                  <w:tcBorders>
                    <w:top w:val="nil"/>
                    <w:left w:val="nil"/>
                    <w:bottom w:val="nil"/>
                    <w:right w:val="nil"/>
                  </w:tcBorders>
                  <w:shd w:val="clear" w:color="000000" w:fill="5B9BD5"/>
                  <w:noWrap/>
                  <w:vAlign w:val="bottom"/>
                  <w:hideMark/>
                </w:tcPr>
                <w:p w14:paraId="7C9EE85C" w14:textId="77777777"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1100" w:type="dxa"/>
                  <w:tcBorders>
                    <w:top w:val="nil"/>
                    <w:left w:val="nil"/>
                    <w:bottom w:val="nil"/>
                    <w:right w:val="nil"/>
                  </w:tcBorders>
                  <w:shd w:val="clear" w:color="000000" w:fill="5B9BD5"/>
                  <w:noWrap/>
                  <w:vAlign w:val="bottom"/>
                  <w:hideMark/>
                </w:tcPr>
                <w:p w14:paraId="774502A3" w14:textId="77777777"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1100" w:type="dxa"/>
                  <w:tcBorders>
                    <w:top w:val="nil"/>
                    <w:left w:val="nil"/>
                    <w:bottom w:val="nil"/>
                    <w:right w:val="nil"/>
                  </w:tcBorders>
                  <w:shd w:val="clear" w:color="000000" w:fill="5B9BD5"/>
                  <w:noWrap/>
                  <w:vAlign w:val="bottom"/>
                  <w:hideMark/>
                </w:tcPr>
                <w:p w14:paraId="2D8312BD" w14:textId="77777777"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1100" w:type="dxa"/>
                  <w:tcBorders>
                    <w:top w:val="nil"/>
                    <w:left w:val="nil"/>
                    <w:bottom w:val="nil"/>
                    <w:right w:val="nil"/>
                  </w:tcBorders>
                  <w:shd w:val="clear" w:color="000000" w:fill="5B9BD5"/>
                  <w:noWrap/>
                  <w:vAlign w:val="bottom"/>
                  <w:hideMark/>
                </w:tcPr>
                <w:p w14:paraId="1872A951" w14:textId="77777777"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1100" w:type="dxa"/>
                  <w:tcBorders>
                    <w:top w:val="nil"/>
                    <w:left w:val="nil"/>
                    <w:bottom w:val="nil"/>
                    <w:right w:val="nil"/>
                  </w:tcBorders>
                  <w:shd w:val="clear" w:color="000000" w:fill="5B9BD5"/>
                  <w:noWrap/>
                  <w:vAlign w:val="bottom"/>
                  <w:hideMark/>
                </w:tcPr>
                <w:p w14:paraId="01D634F0" w14:textId="77777777" w:rsidR="005B2BEF" w:rsidRPr="00571989" w:rsidRDefault="005B2BEF" w:rsidP="005B2BEF">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5B2BEF" w:rsidRPr="000A3661" w14:paraId="1D8319C9" w14:textId="77777777" w:rsidTr="00571989">
              <w:trPr>
                <w:trHeight w:val="20"/>
              </w:trPr>
              <w:tc>
                <w:tcPr>
                  <w:tcW w:w="6980" w:type="dxa"/>
                  <w:tcBorders>
                    <w:top w:val="nil"/>
                    <w:left w:val="nil"/>
                    <w:bottom w:val="nil"/>
                    <w:right w:val="nil"/>
                  </w:tcBorders>
                  <w:shd w:val="clear" w:color="auto" w:fill="auto"/>
                  <w:noWrap/>
                  <w:vAlign w:val="bottom"/>
                  <w:hideMark/>
                </w:tcPr>
                <w:p w14:paraId="1607A86B"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480" w:type="dxa"/>
                  <w:tcBorders>
                    <w:top w:val="nil"/>
                    <w:left w:val="nil"/>
                    <w:bottom w:val="nil"/>
                    <w:right w:val="nil"/>
                  </w:tcBorders>
                  <w:shd w:val="clear" w:color="auto" w:fill="auto"/>
                  <w:noWrap/>
                  <w:vAlign w:val="bottom"/>
                  <w:hideMark/>
                </w:tcPr>
                <w:p w14:paraId="3ED4D342"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14:paraId="05B96246"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71,9</w:t>
                  </w:r>
                </w:p>
              </w:tc>
              <w:tc>
                <w:tcPr>
                  <w:tcW w:w="1100" w:type="dxa"/>
                  <w:tcBorders>
                    <w:top w:val="nil"/>
                    <w:left w:val="nil"/>
                    <w:bottom w:val="nil"/>
                    <w:right w:val="nil"/>
                  </w:tcBorders>
                  <w:shd w:val="clear" w:color="auto" w:fill="auto"/>
                  <w:noWrap/>
                  <w:vAlign w:val="bottom"/>
                  <w:hideMark/>
                </w:tcPr>
                <w:p w14:paraId="33FBBBFF"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48,1</w:t>
                  </w:r>
                </w:p>
              </w:tc>
              <w:tc>
                <w:tcPr>
                  <w:tcW w:w="1100" w:type="dxa"/>
                  <w:tcBorders>
                    <w:top w:val="nil"/>
                    <w:left w:val="nil"/>
                    <w:bottom w:val="nil"/>
                    <w:right w:val="nil"/>
                  </w:tcBorders>
                  <w:shd w:val="clear" w:color="auto" w:fill="auto"/>
                  <w:noWrap/>
                  <w:vAlign w:val="bottom"/>
                  <w:hideMark/>
                </w:tcPr>
                <w:p w14:paraId="5B67F1B0"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4,4</w:t>
                  </w:r>
                </w:p>
              </w:tc>
              <w:tc>
                <w:tcPr>
                  <w:tcW w:w="1100" w:type="dxa"/>
                  <w:tcBorders>
                    <w:top w:val="nil"/>
                    <w:left w:val="nil"/>
                    <w:bottom w:val="nil"/>
                    <w:right w:val="nil"/>
                  </w:tcBorders>
                  <w:shd w:val="clear" w:color="auto" w:fill="auto"/>
                  <w:noWrap/>
                  <w:vAlign w:val="bottom"/>
                  <w:hideMark/>
                </w:tcPr>
                <w:p w14:paraId="3DAFD4CA"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124,5</w:t>
                  </w:r>
                </w:p>
              </w:tc>
            </w:tr>
            <w:tr w:rsidR="005B2BEF" w:rsidRPr="000A3661" w14:paraId="7E389610" w14:textId="77777777" w:rsidTr="00571989">
              <w:trPr>
                <w:trHeight w:val="20"/>
              </w:trPr>
              <w:tc>
                <w:tcPr>
                  <w:tcW w:w="6980" w:type="dxa"/>
                  <w:tcBorders>
                    <w:top w:val="nil"/>
                    <w:left w:val="nil"/>
                    <w:bottom w:val="nil"/>
                    <w:right w:val="nil"/>
                  </w:tcBorders>
                  <w:shd w:val="clear" w:color="auto" w:fill="auto"/>
                  <w:noWrap/>
                  <w:vAlign w:val="bottom"/>
                  <w:hideMark/>
                </w:tcPr>
                <w:p w14:paraId="4980E3AC"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480" w:type="dxa"/>
                  <w:tcBorders>
                    <w:top w:val="nil"/>
                    <w:left w:val="nil"/>
                    <w:bottom w:val="nil"/>
                    <w:right w:val="nil"/>
                  </w:tcBorders>
                  <w:shd w:val="clear" w:color="auto" w:fill="auto"/>
                  <w:noWrap/>
                  <w:vAlign w:val="bottom"/>
                  <w:hideMark/>
                </w:tcPr>
                <w:p w14:paraId="70AB2B67"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0,0</w:t>
                  </w:r>
                </w:p>
              </w:tc>
              <w:tc>
                <w:tcPr>
                  <w:tcW w:w="1100" w:type="dxa"/>
                  <w:tcBorders>
                    <w:top w:val="nil"/>
                    <w:left w:val="nil"/>
                    <w:bottom w:val="nil"/>
                    <w:right w:val="nil"/>
                  </w:tcBorders>
                  <w:shd w:val="clear" w:color="auto" w:fill="auto"/>
                  <w:noWrap/>
                  <w:vAlign w:val="bottom"/>
                  <w:hideMark/>
                </w:tcPr>
                <w:p w14:paraId="71ACFA2A"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23,4</w:t>
                  </w:r>
                </w:p>
              </w:tc>
              <w:tc>
                <w:tcPr>
                  <w:tcW w:w="1100" w:type="dxa"/>
                  <w:tcBorders>
                    <w:top w:val="nil"/>
                    <w:left w:val="nil"/>
                    <w:bottom w:val="nil"/>
                    <w:right w:val="nil"/>
                  </w:tcBorders>
                  <w:shd w:val="clear" w:color="auto" w:fill="auto"/>
                  <w:noWrap/>
                  <w:vAlign w:val="bottom"/>
                  <w:hideMark/>
                </w:tcPr>
                <w:p w14:paraId="1405FEE4"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4,7</w:t>
                  </w:r>
                </w:p>
              </w:tc>
              <w:tc>
                <w:tcPr>
                  <w:tcW w:w="1100" w:type="dxa"/>
                  <w:tcBorders>
                    <w:top w:val="nil"/>
                    <w:left w:val="nil"/>
                    <w:bottom w:val="nil"/>
                    <w:right w:val="nil"/>
                  </w:tcBorders>
                  <w:shd w:val="clear" w:color="auto" w:fill="auto"/>
                  <w:noWrap/>
                  <w:vAlign w:val="bottom"/>
                  <w:hideMark/>
                </w:tcPr>
                <w:p w14:paraId="45103E61"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3,0</w:t>
                  </w:r>
                </w:p>
              </w:tc>
              <w:tc>
                <w:tcPr>
                  <w:tcW w:w="1100" w:type="dxa"/>
                  <w:tcBorders>
                    <w:top w:val="nil"/>
                    <w:left w:val="nil"/>
                    <w:bottom w:val="nil"/>
                    <w:right w:val="nil"/>
                  </w:tcBorders>
                  <w:shd w:val="clear" w:color="auto" w:fill="auto"/>
                  <w:noWrap/>
                  <w:vAlign w:val="bottom"/>
                  <w:hideMark/>
                </w:tcPr>
                <w:p w14:paraId="1B35E901"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31,1</w:t>
                  </w:r>
                </w:p>
              </w:tc>
            </w:tr>
            <w:tr w:rsidR="005B2BEF" w:rsidRPr="000A3661" w14:paraId="63325434" w14:textId="77777777" w:rsidTr="00571989">
              <w:trPr>
                <w:trHeight w:val="20"/>
              </w:trPr>
              <w:tc>
                <w:tcPr>
                  <w:tcW w:w="6980" w:type="dxa"/>
                  <w:tcBorders>
                    <w:top w:val="nil"/>
                    <w:left w:val="nil"/>
                    <w:bottom w:val="nil"/>
                    <w:right w:val="nil"/>
                  </w:tcBorders>
                  <w:shd w:val="clear" w:color="auto" w:fill="auto"/>
                  <w:noWrap/>
                  <w:vAlign w:val="bottom"/>
                  <w:hideMark/>
                </w:tcPr>
                <w:p w14:paraId="5BE1E7AF"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480" w:type="dxa"/>
                  <w:tcBorders>
                    <w:top w:val="nil"/>
                    <w:left w:val="nil"/>
                    <w:bottom w:val="nil"/>
                    <w:right w:val="nil"/>
                  </w:tcBorders>
                  <w:shd w:val="clear" w:color="auto" w:fill="auto"/>
                  <w:noWrap/>
                  <w:vAlign w:val="bottom"/>
                  <w:hideMark/>
                </w:tcPr>
                <w:p w14:paraId="048218CB"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5,4</w:t>
                  </w:r>
                </w:p>
              </w:tc>
              <w:tc>
                <w:tcPr>
                  <w:tcW w:w="1100" w:type="dxa"/>
                  <w:tcBorders>
                    <w:top w:val="nil"/>
                    <w:left w:val="nil"/>
                    <w:bottom w:val="nil"/>
                    <w:right w:val="nil"/>
                  </w:tcBorders>
                  <w:shd w:val="clear" w:color="auto" w:fill="auto"/>
                  <w:noWrap/>
                  <w:vAlign w:val="bottom"/>
                  <w:hideMark/>
                </w:tcPr>
                <w:p w14:paraId="0DFDCCA9"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13,9</w:t>
                  </w:r>
                </w:p>
              </w:tc>
              <w:tc>
                <w:tcPr>
                  <w:tcW w:w="1100" w:type="dxa"/>
                  <w:tcBorders>
                    <w:top w:val="nil"/>
                    <w:left w:val="nil"/>
                    <w:bottom w:val="nil"/>
                    <w:right w:val="nil"/>
                  </w:tcBorders>
                  <w:shd w:val="clear" w:color="auto" w:fill="auto"/>
                  <w:noWrap/>
                  <w:vAlign w:val="bottom"/>
                  <w:hideMark/>
                </w:tcPr>
                <w:p w14:paraId="5CA1299D"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12,8</w:t>
                  </w:r>
                </w:p>
              </w:tc>
              <w:tc>
                <w:tcPr>
                  <w:tcW w:w="1100" w:type="dxa"/>
                  <w:tcBorders>
                    <w:top w:val="nil"/>
                    <w:left w:val="nil"/>
                    <w:bottom w:val="nil"/>
                    <w:right w:val="nil"/>
                  </w:tcBorders>
                  <w:shd w:val="clear" w:color="auto" w:fill="auto"/>
                  <w:noWrap/>
                  <w:vAlign w:val="bottom"/>
                  <w:hideMark/>
                </w:tcPr>
                <w:p w14:paraId="2DC64B0C"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7,8</w:t>
                  </w:r>
                </w:p>
              </w:tc>
              <w:tc>
                <w:tcPr>
                  <w:tcW w:w="1100" w:type="dxa"/>
                  <w:tcBorders>
                    <w:top w:val="nil"/>
                    <w:left w:val="nil"/>
                    <w:bottom w:val="nil"/>
                    <w:right w:val="nil"/>
                  </w:tcBorders>
                  <w:shd w:val="clear" w:color="auto" w:fill="auto"/>
                  <w:noWrap/>
                  <w:vAlign w:val="bottom"/>
                  <w:hideMark/>
                </w:tcPr>
                <w:p w14:paraId="2B39CB20"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39,9</w:t>
                  </w:r>
                </w:p>
              </w:tc>
            </w:tr>
            <w:tr w:rsidR="005B2BEF" w:rsidRPr="000A3661" w14:paraId="34498FDB" w14:textId="77777777" w:rsidTr="00571989">
              <w:trPr>
                <w:trHeight w:val="20"/>
              </w:trPr>
              <w:tc>
                <w:tcPr>
                  <w:tcW w:w="6980" w:type="dxa"/>
                  <w:tcBorders>
                    <w:top w:val="nil"/>
                    <w:left w:val="nil"/>
                    <w:bottom w:val="nil"/>
                    <w:right w:val="nil"/>
                  </w:tcBorders>
                  <w:shd w:val="clear" w:color="auto" w:fill="auto"/>
                  <w:noWrap/>
                  <w:vAlign w:val="bottom"/>
                  <w:hideMark/>
                </w:tcPr>
                <w:p w14:paraId="1CD536F8"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480" w:type="dxa"/>
                  <w:tcBorders>
                    <w:top w:val="nil"/>
                    <w:left w:val="nil"/>
                    <w:bottom w:val="nil"/>
                    <w:right w:val="nil"/>
                  </w:tcBorders>
                  <w:shd w:val="clear" w:color="auto" w:fill="auto"/>
                  <w:noWrap/>
                  <w:vAlign w:val="bottom"/>
                  <w:hideMark/>
                </w:tcPr>
                <w:p w14:paraId="3AAA8709"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2,8</w:t>
                  </w:r>
                </w:p>
              </w:tc>
              <w:tc>
                <w:tcPr>
                  <w:tcW w:w="1100" w:type="dxa"/>
                  <w:tcBorders>
                    <w:top w:val="nil"/>
                    <w:left w:val="nil"/>
                    <w:bottom w:val="nil"/>
                    <w:right w:val="nil"/>
                  </w:tcBorders>
                  <w:shd w:val="clear" w:color="auto" w:fill="auto"/>
                  <w:noWrap/>
                  <w:vAlign w:val="bottom"/>
                  <w:hideMark/>
                </w:tcPr>
                <w:p w14:paraId="3B0B2DED"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1100" w:type="dxa"/>
                  <w:tcBorders>
                    <w:top w:val="nil"/>
                    <w:left w:val="nil"/>
                    <w:bottom w:val="nil"/>
                    <w:right w:val="nil"/>
                  </w:tcBorders>
                  <w:shd w:val="clear" w:color="auto" w:fill="auto"/>
                  <w:noWrap/>
                  <w:vAlign w:val="bottom"/>
                  <w:hideMark/>
                </w:tcPr>
                <w:p w14:paraId="36EDA5C7"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1100" w:type="dxa"/>
                  <w:tcBorders>
                    <w:top w:val="nil"/>
                    <w:left w:val="nil"/>
                    <w:bottom w:val="nil"/>
                    <w:right w:val="nil"/>
                  </w:tcBorders>
                  <w:shd w:val="clear" w:color="auto" w:fill="auto"/>
                  <w:noWrap/>
                  <w:vAlign w:val="bottom"/>
                  <w:hideMark/>
                </w:tcPr>
                <w:p w14:paraId="55FDA479"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1100" w:type="dxa"/>
                  <w:tcBorders>
                    <w:top w:val="nil"/>
                    <w:left w:val="nil"/>
                    <w:bottom w:val="nil"/>
                    <w:right w:val="nil"/>
                  </w:tcBorders>
                  <w:shd w:val="clear" w:color="auto" w:fill="auto"/>
                  <w:noWrap/>
                  <w:vAlign w:val="bottom"/>
                  <w:hideMark/>
                </w:tcPr>
                <w:p w14:paraId="7E9BA659"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11,6</w:t>
                  </w:r>
                </w:p>
              </w:tc>
            </w:tr>
            <w:tr w:rsidR="005B2BEF" w:rsidRPr="000A3661" w14:paraId="217224F8" w14:textId="77777777" w:rsidTr="00571989">
              <w:trPr>
                <w:trHeight w:val="20"/>
              </w:trPr>
              <w:tc>
                <w:tcPr>
                  <w:tcW w:w="6980" w:type="dxa"/>
                  <w:tcBorders>
                    <w:top w:val="nil"/>
                    <w:left w:val="nil"/>
                    <w:bottom w:val="nil"/>
                    <w:right w:val="nil"/>
                  </w:tcBorders>
                  <w:shd w:val="clear" w:color="auto" w:fill="auto"/>
                  <w:noWrap/>
                  <w:vAlign w:val="bottom"/>
                  <w:hideMark/>
                </w:tcPr>
                <w:p w14:paraId="05209137"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na pokrycie kosztów pośrednich</w:t>
                  </w:r>
                </w:p>
              </w:tc>
              <w:tc>
                <w:tcPr>
                  <w:tcW w:w="480" w:type="dxa"/>
                  <w:tcBorders>
                    <w:top w:val="nil"/>
                    <w:left w:val="nil"/>
                    <w:bottom w:val="nil"/>
                    <w:right w:val="nil"/>
                  </w:tcBorders>
                  <w:shd w:val="clear" w:color="auto" w:fill="auto"/>
                  <w:noWrap/>
                  <w:vAlign w:val="bottom"/>
                  <w:hideMark/>
                </w:tcPr>
                <w:p w14:paraId="4D6F977D"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1100" w:type="dxa"/>
                  <w:tcBorders>
                    <w:top w:val="nil"/>
                    <w:left w:val="nil"/>
                    <w:bottom w:val="nil"/>
                    <w:right w:val="nil"/>
                  </w:tcBorders>
                  <w:shd w:val="clear" w:color="auto" w:fill="auto"/>
                  <w:noWrap/>
                  <w:vAlign w:val="bottom"/>
                  <w:hideMark/>
                </w:tcPr>
                <w:p w14:paraId="4D136C34"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1100" w:type="dxa"/>
                  <w:tcBorders>
                    <w:top w:val="nil"/>
                    <w:left w:val="nil"/>
                    <w:bottom w:val="nil"/>
                    <w:right w:val="nil"/>
                  </w:tcBorders>
                  <w:shd w:val="clear" w:color="auto" w:fill="auto"/>
                  <w:noWrap/>
                  <w:vAlign w:val="bottom"/>
                  <w:hideMark/>
                </w:tcPr>
                <w:p w14:paraId="7D2ADFE7"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0,7</w:t>
                  </w:r>
                </w:p>
              </w:tc>
              <w:tc>
                <w:tcPr>
                  <w:tcW w:w="1100" w:type="dxa"/>
                  <w:tcBorders>
                    <w:top w:val="nil"/>
                    <w:left w:val="nil"/>
                    <w:bottom w:val="nil"/>
                    <w:right w:val="nil"/>
                  </w:tcBorders>
                  <w:shd w:val="clear" w:color="auto" w:fill="auto"/>
                  <w:noWrap/>
                  <w:vAlign w:val="bottom"/>
                  <w:hideMark/>
                </w:tcPr>
                <w:p w14:paraId="70DC9906"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1100" w:type="dxa"/>
                  <w:tcBorders>
                    <w:top w:val="nil"/>
                    <w:left w:val="nil"/>
                    <w:bottom w:val="nil"/>
                    <w:right w:val="nil"/>
                  </w:tcBorders>
                  <w:shd w:val="clear" w:color="auto" w:fill="auto"/>
                  <w:noWrap/>
                  <w:vAlign w:val="bottom"/>
                  <w:hideMark/>
                </w:tcPr>
                <w:p w14:paraId="59E781F9"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2,2</w:t>
                  </w:r>
                </w:p>
              </w:tc>
            </w:tr>
            <w:tr w:rsidR="005B2BEF" w:rsidRPr="000A3661" w14:paraId="36CAB831" w14:textId="77777777" w:rsidTr="00571989">
              <w:trPr>
                <w:trHeight w:val="20"/>
              </w:trPr>
              <w:tc>
                <w:tcPr>
                  <w:tcW w:w="6980" w:type="dxa"/>
                  <w:tcBorders>
                    <w:top w:val="nil"/>
                    <w:left w:val="nil"/>
                    <w:bottom w:val="nil"/>
                    <w:right w:val="nil"/>
                  </w:tcBorders>
                  <w:shd w:val="clear" w:color="auto" w:fill="auto"/>
                  <w:noWrap/>
                  <w:vAlign w:val="bottom"/>
                  <w:hideMark/>
                </w:tcPr>
                <w:p w14:paraId="33010D12"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480" w:type="dxa"/>
                  <w:tcBorders>
                    <w:top w:val="nil"/>
                    <w:left w:val="nil"/>
                    <w:bottom w:val="nil"/>
                    <w:right w:val="nil"/>
                  </w:tcBorders>
                  <w:shd w:val="clear" w:color="auto" w:fill="auto"/>
                  <w:noWrap/>
                  <w:vAlign w:val="bottom"/>
                  <w:hideMark/>
                </w:tcPr>
                <w:p w14:paraId="4A5F303F"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14:paraId="40CAD061"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0,2</w:t>
                  </w:r>
                </w:p>
              </w:tc>
              <w:tc>
                <w:tcPr>
                  <w:tcW w:w="1100" w:type="dxa"/>
                  <w:tcBorders>
                    <w:top w:val="nil"/>
                    <w:left w:val="nil"/>
                    <w:bottom w:val="nil"/>
                    <w:right w:val="nil"/>
                  </w:tcBorders>
                  <w:shd w:val="clear" w:color="auto" w:fill="auto"/>
                  <w:noWrap/>
                  <w:vAlign w:val="bottom"/>
                  <w:hideMark/>
                </w:tcPr>
                <w:p w14:paraId="3FA8FDDE"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14:paraId="51200550"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0,0</w:t>
                  </w:r>
                </w:p>
              </w:tc>
              <w:tc>
                <w:tcPr>
                  <w:tcW w:w="1100" w:type="dxa"/>
                  <w:tcBorders>
                    <w:top w:val="nil"/>
                    <w:left w:val="nil"/>
                    <w:bottom w:val="nil"/>
                    <w:right w:val="nil"/>
                  </w:tcBorders>
                  <w:shd w:val="clear" w:color="auto" w:fill="auto"/>
                  <w:noWrap/>
                  <w:vAlign w:val="bottom"/>
                  <w:hideMark/>
                </w:tcPr>
                <w:p w14:paraId="5478BBD5"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0,4</w:t>
                  </w:r>
                </w:p>
              </w:tc>
            </w:tr>
            <w:tr w:rsidR="005B2BEF" w:rsidRPr="000A3661" w14:paraId="046D0AEE" w14:textId="77777777" w:rsidTr="00571989">
              <w:trPr>
                <w:trHeight w:val="20"/>
              </w:trPr>
              <w:tc>
                <w:tcPr>
                  <w:tcW w:w="6980" w:type="dxa"/>
                  <w:tcBorders>
                    <w:top w:val="nil"/>
                    <w:left w:val="nil"/>
                    <w:bottom w:val="nil"/>
                    <w:right w:val="nil"/>
                  </w:tcBorders>
                  <w:shd w:val="clear" w:color="auto" w:fill="auto"/>
                  <w:noWrap/>
                  <w:vAlign w:val="bottom"/>
                  <w:hideMark/>
                </w:tcPr>
                <w:p w14:paraId="1A08F32A"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480" w:type="dxa"/>
                  <w:tcBorders>
                    <w:top w:val="nil"/>
                    <w:left w:val="nil"/>
                    <w:bottom w:val="nil"/>
                    <w:right w:val="nil"/>
                  </w:tcBorders>
                  <w:shd w:val="clear" w:color="auto" w:fill="auto"/>
                  <w:noWrap/>
                  <w:vAlign w:val="bottom"/>
                  <w:hideMark/>
                </w:tcPr>
                <w:p w14:paraId="6465510C"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14:paraId="1DE31B71"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1100" w:type="dxa"/>
                  <w:tcBorders>
                    <w:top w:val="nil"/>
                    <w:left w:val="nil"/>
                    <w:bottom w:val="nil"/>
                    <w:right w:val="nil"/>
                  </w:tcBorders>
                  <w:shd w:val="clear" w:color="auto" w:fill="auto"/>
                  <w:noWrap/>
                  <w:vAlign w:val="bottom"/>
                  <w:hideMark/>
                </w:tcPr>
                <w:p w14:paraId="2CA08EFA"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1100" w:type="dxa"/>
                  <w:tcBorders>
                    <w:top w:val="nil"/>
                    <w:left w:val="nil"/>
                    <w:bottom w:val="nil"/>
                    <w:right w:val="nil"/>
                  </w:tcBorders>
                  <w:shd w:val="clear" w:color="auto" w:fill="auto"/>
                  <w:noWrap/>
                  <w:vAlign w:val="bottom"/>
                  <w:hideMark/>
                </w:tcPr>
                <w:p w14:paraId="2699C6E4"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1100" w:type="dxa"/>
                  <w:tcBorders>
                    <w:top w:val="nil"/>
                    <w:left w:val="nil"/>
                    <w:bottom w:val="nil"/>
                    <w:right w:val="nil"/>
                  </w:tcBorders>
                  <w:shd w:val="clear" w:color="auto" w:fill="auto"/>
                  <w:noWrap/>
                  <w:vAlign w:val="bottom"/>
                  <w:hideMark/>
                </w:tcPr>
                <w:p w14:paraId="746FE9E6"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1,4</w:t>
                  </w:r>
                </w:p>
              </w:tc>
            </w:tr>
            <w:tr w:rsidR="005B2BEF" w:rsidRPr="000A3661" w14:paraId="084563C8" w14:textId="77777777" w:rsidTr="00571989">
              <w:trPr>
                <w:trHeight w:val="20"/>
              </w:trPr>
              <w:tc>
                <w:tcPr>
                  <w:tcW w:w="6980" w:type="dxa"/>
                  <w:tcBorders>
                    <w:top w:val="nil"/>
                    <w:left w:val="nil"/>
                    <w:bottom w:val="nil"/>
                    <w:right w:val="nil"/>
                  </w:tcBorders>
                  <w:shd w:val="clear" w:color="auto" w:fill="auto"/>
                  <w:noWrap/>
                  <w:vAlign w:val="bottom"/>
                  <w:hideMark/>
                </w:tcPr>
                <w:p w14:paraId="6648EF00" w14:textId="77777777"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480" w:type="dxa"/>
                  <w:tcBorders>
                    <w:top w:val="nil"/>
                    <w:left w:val="nil"/>
                    <w:bottom w:val="nil"/>
                    <w:right w:val="nil"/>
                  </w:tcBorders>
                  <w:shd w:val="clear" w:color="auto" w:fill="auto"/>
                  <w:noWrap/>
                  <w:vAlign w:val="bottom"/>
                  <w:hideMark/>
                </w:tcPr>
                <w:p w14:paraId="1705C917"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0,8</w:t>
                  </w:r>
                </w:p>
              </w:tc>
              <w:tc>
                <w:tcPr>
                  <w:tcW w:w="1100" w:type="dxa"/>
                  <w:tcBorders>
                    <w:top w:val="nil"/>
                    <w:left w:val="nil"/>
                    <w:bottom w:val="nil"/>
                    <w:right w:val="nil"/>
                  </w:tcBorders>
                  <w:shd w:val="clear" w:color="auto" w:fill="auto"/>
                  <w:noWrap/>
                  <w:vAlign w:val="bottom"/>
                  <w:hideMark/>
                </w:tcPr>
                <w:p w14:paraId="54003505"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w:t>
                  </w:r>
                </w:p>
              </w:tc>
              <w:tc>
                <w:tcPr>
                  <w:tcW w:w="1100" w:type="dxa"/>
                  <w:tcBorders>
                    <w:top w:val="nil"/>
                    <w:left w:val="nil"/>
                    <w:bottom w:val="nil"/>
                    <w:right w:val="nil"/>
                  </w:tcBorders>
                  <w:shd w:val="clear" w:color="auto" w:fill="auto"/>
                  <w:noWrap/>
                  <w:vAlign w:val="bottom"/>
                  <w:hideMark/>
                </w:tcPr>
                <w:p w14:paraId="26FEED77"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1100" w:type="dxa"/>
                  <w:tcBorders>
                    <w:top w:val="nil"/>
                    <w:left w:val="nil"/>
                    <w:bottom w:val="nil"/>
                    <w:right w:val="nil"/>
                  </w:tcBorders>
                  <w:shd w:val="clear" w:color="auto" w:fill="auto"/>
                  <w:noWrap/>
                  <w:vAlign w:val="bottom"/>
                  <w:hideMark/>
                </w:tcPr>
                <w:p w14:paraId="1CE8B03F" w14:textId="77777777"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1100" w:type="dxa"/>
                  <w:tcBorders>
                    <w:top w:val="nil"/>
                    <w:left w:val="nil"/>
                    <w:bottom w:val="nil"/>
                    <w:right w:val="nil"/>
                  </w:tcBorders>
                  <w:shd w:val="clear" w:color="auto" w:fill="auto"/>
                  <w:noWrap/>
                  <w:vAlign w:val="bottom"/>
                  <w:hideMark/>
                </w:tcPr>
                <w:p w14:paraId="25BE1557"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5,3</w:t>
                  </w:r>
                </w:p>
              </w:tc>
            </w:tr>
            <w:tr w:rsidR="005B2BEF" w:rsidRPr="000A3661" w14:paraId="1FD0B649" w14:textId="77777777" w:rsidTr="00571989">
              <w:trPr>
                <w:trHeight w:val="20"/>
              </w:trPr>
              <w:tc>
                <w:tcPr>
                  <w:tcW w:w="6980" w:type="dxa"/>
                  <w:tcBorders>
                    <w:top w:val="single" w:sz="4" w:space="0" w:color="5B9BD5"/>
                    <w:left w:val="nil"/>
                    <w:bottom w:val="double" w:sz="6" w:space="0" w:color="5B9BD5"/>
                    <w:right w:val="nil"/>
                  </w:tcBorders>
                  <w:shd w:val="clear" w:color="auto" w:fill="auto"/>
                  <w:noWrap/>
                  <w:vAlign w:val="bottom"/>
                  <w:hideMark/>
                </w:tcPr>
                <w:p w14:paraId="69119378" w14:textId="77777777" w:rsidR="005B2BEF" w:rsidRPr="00571989" w:rsidRDefault="005B2BEF" w:rsidP="005B2BEF">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480" w:type="dxa"/>
                  <w:tcBorders>
                    <w:top w:val="single" w:sz="4" w:space="0" w:color="5B9BD5"/>
                    <w:left w:val="nil"/>
                    <w:bottom w:val="double" w:sz="6" w:space="0" w:color="5B9BD5"/>
                    <w:right w:val="nil"/>
                  </w:tcBorders>
                  <w:shd w:val="clear" w:color="auto" w:fill="auto"/>
                  <w:noWrap/>
                  <w:vAlign w:val="bottom"/>
                  <w:hideMark/>
                </w:tcPr>
                <w:p w14:paraId="62535C0D"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9,6</w:t>
                  </w:r>
                </w:p>
              </w:tc>
              <w:tc>
                <w:tcPr>
                  <w:tcW w:w="1100" w:type="dxa"/>
                  <w:tcBorders>
                    <w:top w:val="single" w:sz="4" w:space="0" w:color="5B9BD5"/>
                    <w:left w:val="nil"/>
                    <w:bottom w:val="double" w:sz="6" w:space="0" w:color="5B9BD5"/>
                    <w:right w:val="nil"/>
                  </w:tcBorders>
                  <w:shd w:val="clear" w:color="auto" w:fill="auto"/>
                  <w:noWrap/>
                  <w:vAlign w:val="bottom"/>
                  <w:hideMark/>
                </w:tcPr>
                <w:p w14:paraId="32FF496C"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116,1</w:t>
                  </w:r>
                </w:p>
              </w:tc>
              <w:tc>
                <w:tcPr>
                  <w:tcW w:w="1100" w:type="dxa"/>
                  <w:tcBorders>
                    <w:top w:val="single" w:sz="4" w:space="0" w:color="5B9BD5"/>
                    <w:left w:val="nil"/>
                    <w:bottom w:val="double" w:sz="6" w:space="0" w:color="5B9BD5"/>
                    <w:right w:val="nil"/>
                  </w:tcBorders>
                  <w:shd w:val="clear" w:color="auto" w:fill="auto"/>
                  <w:noWrap/>
                  <w:vAlign w:val="bottom"/>
                  <w:hideMark/>
                </w:tcPr>
                <w:p w14:paraId="06B080E4"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72,1</w:t>
                  </w:r>
                </w:p>
              </w:tc>
              <w:tc>
                <w:tcPr>
                  <w:tcW w:w="1100" w:type="dxa"/>
                  <w:tcBorders>
                    <w:top w:val="single" w:sz="4" w:space="0" w:color="5B9BD5"/>
                    <w:left w:val="nil"/>
                    <w:bottom w:val="double" w:sz="6" w:space="0" w:color="5B9BD5"/>
                    <w:right w:val="nil"/>
                  </w:tcBorders>
                  <w:shd w:val="clear" w:color="auto" w:fill="auto"/>
                  <w:noWrap/>
                  <w:vAlign w:val="bottom"/>
                  <w:hideMark/>
                </w:tcPr>
                <w:p w14:paraId="3C4D5756"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18,6</w:t>
                  </w:r>
                </w:p>
              </w:tc>
              <w:tc>
                <w:tcPr>
                  <w:tcW w:w="1100" w:type="dxa"/>
                  <w:tcBorders>
                    <w:top w:val="single" w:sz="4" w:space="0" w:color="5B9BD5"/>
                    <w:left w:val="nil"/>
                    <w:bottom w:val="double" w:sz="6" w:space="0" w:color="5B9BD5"/>
                    <w:right w:val="nil"/>
                  </w:tcBorders>
                  <w:shd w:val="clear" w:color="auto" w:fill="auto"/>
                  <w:noWrap/>
                  <w:vAlign w:val="bottom"/>
                  <w:hideMark/>
                </w:tcPr>
                <w:p w14:paraId="7E1C5408" w14:textId="77777777"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216,4</w:t>
                  </w:r>
                </w:p>
              </w:tc>
            </w:tr>
          </w:tbl>
          <w:p w14:paraId="24EDE045"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4C1710F" w14:textId="77777777" w:rsidR="00BB0269" w:rsidRDefault="00BB0269" w:rsidP="00DA60BA">
            <w:pPr>
              <w:spacing w:after="0" w:line="240" w:lineRule="auto"/>
              <w:jc w:val="both"/>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Wydatki na realizację projektu WIIP (2019-2022) w podziale na źródła finansowania:</w:t>
            </w:r>
          </w:p>
          <w:p w14:paraId="1C1B3CEB" w14:textId="77777777" w:rsidR="00BB0269" w:rsidRDefault="00BB0269" w:rsidP="00DA60BA">
            <w:pPr>
              <w:spacing w:after="0" w:line="240" w:lineRule="auto"/>
              <w:jc w:val="both"/>
              <w:rPr>
                <w:rFonts w:ascii="Times New Roman" w:eastAsia="Calibri" w:hAnsi="Times New Roman" w:cs="Times New Roman"/>
                <w:color w:val="000000"/>
                <w:sz w:val="21"/>
                <w:szCs w:val="21"/>
              </w:rPr>
            </w:pPr>
          </w:p>
          <w:tbl>
            <w:tblPr>
              <w:tblW w:w="7313" w:type="dxa"/>
              <w:tblLayout w:type="fixed"/>
              <w:tblCellMar>
                <w:left w:w="70" w:type="dxa"/>
                <w:right w:w="70" w:type="dxa"/>
              </w:tblCellMar>
              <w:tblLook w:val="04A0" w:firstRow="1" w:lastRow="0" w:firstColumn="1" w:lastColumn="0" w:noHBand="0" w:noVBand="1"/>
            </w:tblPr>
            <w:tblGrid>
              <w:gridCol w:w="2778"/>
              <w:gridCol w:w="907"/>
              <w:gridCol w:w="907"/>
              <w:gridCol w:w="907"/>
              <w:gridCol w:w="907"/>
              <w:gridCol w:w="149"/>
              <w:gridCol w:w="758"/>
            </w:tblGrid>
            <w:tr w:rsidR="00BB0269" w:rsidRPr="000A3661" w14:paraId="0CB129F6" w14:textId="77777777" w:rsidTr="00571989">
              <w:trPr>
                <w:gridAfter w:val="1"/>
                <w:wAfter w:w="758" w:type="dxa"/>
                <w:trHeight w:val="11"/>
              </w:trPr>
              <w:tc>
                <w:tcPr>
                  <w:tcW w:w="6555" w:type="dxa"/>
                  <w:gridSpan w:val="6"/>
                  <w:tcBorders>
                    <w:top w:val="nil"/>
                    <w:left w:val="nil"/>
                    <w:bottom w:val="nil"/>
                  </w:tcBorders>
                  <w:shd w:val="clear" w:color="auto" w:fill="auto"/>
                  <w:noWrap/>
                  <w:vAlign w:val="bottom"/>
                  <w:hideMark/>
                </w:tcPr>
                <w:p w14:paraId="5BFCCF7F" w14:textId="77777777" w:rsidR="00BB0269" w:rsidRPr="00571989" w:rsidRDefault="00BB0269" w:rsidP="00BB0269">
                  <w:pPr>
                    <w:spacing w:after="0" w:line="240" w:lineRule="auto"/>
                    <w:rPr>
                      <w:rFonts w:ascii="Times New Roman" w:eastAsia="Times New Roman" w:hAnsi="Times New Roman" w:cs="Times New Roman"/>
                      <w:sz w:val="16"/>
                      <w:szCs w:val="20"/>
                      <w:lang w:eastAsia="pl-PL"/>
                    </w:rPr>
                  </w:pPr>
                  <w:r w:rsidRPr="00571989">
                    <w:rPr>
                      <w:rFonts w:ascii="Times New Roman" w:eastAsia="Times New Roman" w:hAnsi="Times New Roman" w:cs="Times New Roman"/>
                      <w:color w:val="000000"/>
                      <w:sz w:val="16"/>
                      <w:szCs w:val="24"/>
                      <w:lang w:eastAsia="pl-PL"/>
                    </w:rPr>
                    <w:t>Wydatki na realizację projektu WIIP finansowane w ramach POPC 2.1</w:t>
                  </w:r>
                </w:p>
              </w:tc>
            </w:tr>
            <w:tr w:rsidR="00BB0269" w:rsidRPr="000A3661" w14:paraId="2A152E62" w14:textId="77777777" w:rsidTr="00571989">
              <w:trPr>
                <w:trHeight w:val="11"/>
              </w:trPr>
              <w:tc>
                <w:tcPr>
                  <w:tcW w:w="2778" w:type="dxa"/>
                  <w:tcBorders>
                    <w:top w:val="nil"/>
                    <w:left w:val="nil"/>
                    <w:bottom w:val="nil"/>
                    <w:right w:val="nil"/>
                  </w:tcBorders>
                  <w:shd w:val="clear" w:color="000000" w:fill="5B9BD5"/>
                  <w:noWrap/>
                  <w:vAlign w:val="bottom"/>
                  <w:hideMark/>
                </w:tcPr>
                <w:p w14:paraId="03A36849" w14:textId="77777777"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907" w:type="dxa"/>
                  <w:tcBorders>
                    <w:top w:val="nil"/>
                    <w:left w:val="nil"/>
                    <w:bottom w:val="nil"/>
                    <w:right w:val="nil"/>
                  </w:tcBorders>
                  <w:shd w:val="clear" w:color="000000" w:fill="5B9BD5"/>
                  <w:noWrap/>
                  <w:vAlign w:val="bottom"/>
                  <w:hideMark/>
                </w:tcPr>
                <w:p w14:paraId="2EE4688D"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907" w:type="dxa"/>
                  <w:tcBorders>
                    <w:top w:val="nil"/>
                    <w:left w:val="nil"/>
                    <w:bottom w:val="nil"/>
                    <w:right w:val="nil"/>
                  </w:tcBorders>
                  <w:shd w:val="clear" w:color="000000" w:fill="5B9BD5"/>
                  <w:noWrap/>
                  <w:vAlign w:val="bottom"/>
                  <w:hideMark/>
                </w:tcPr>
                <w:p w14:paraId="0B8BAD43"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907" w:type="dxa"/>
                  <w:tcBorders>
                    <w:top w:val="nil"/>
                    <w:left w:val="nil"/>
                    <w:bottom w:val="nil"/>
                    <w:right w:val="nil"/>
                  </w:tcBorders>
                  <w:shd w:val="clear" w:color="000000" w:fill="5B9BD5"/>
                  <w:noWrap/>
                  <w:vAlign w:val="bottom"/>
                  <w:hideMark/>
                </w:tcPr>
                <w:p w14:paraId="0882941F"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907" w:type="dxa"/>
                  <w:tcBorders>
                    <w:top w:val="nil"/>
                    <w:left w:val="nil"/>
                    <w:bottom w:val="nil"/>
                    <w:right w:val="nil"/>
                  </w:tcBorders>
                  <w:shd w:val="clear" w:color="000000" w:fill="5B9BD5"/>
                  <w:noWrap/>
                  <w:vAlign w:val="bottom"/>
                  <w:hideMark/>
                </w:tcPr>
                <w:p w14:paraId="14792642"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907" w:type="dxa"/>
                  <w:gridSpan w:val="2"/>
                  <w:tcBorders>
                    <w:top w:val="nil"/>
                    <w:left w:val="nil"/>
                    <w:bottom w:val="nil"/>
                    <w:right w:val="nil"/>
                  </w:tcBorders>
                  <w:shd w:val="clear" w:color="000000" w:fill="5B9BD5"/>
                  <w:noWrap/>
                  <w:vAlign w:val="bottom"/>
                  <w:hideMark/>
                </w:tcPr>
                <w:p w14:paraId="06BD5FE9" w14:textId="77777777"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BB0269" w:rsidRPr="000A3661" w14:paraId="3F3B0557" w14:textId="77777777" w:rsidTr="00571989">
              <w:trPr>
                <w:trHeight w:val="11"/>
              </w:trPr>
              <w:tc>
                <w:tcPr>
                  <w:tcW w:w="2778" w:type="dxa"/>
                  <w:tcBorders>
                    <w:top w:val="nil"/>
                    <w:left w:val="nil"/>
                    <w:bottom w:val="nil"/>
                    <w:right w:val="nil"/>
                  </w:tcBorders>
                  <w:shd w:val="clear" w:color="auto" w:fill="auto"/>
                  <w:noWrap/>
                  <w:vAlign w:val="bottom"/>
                  <w:hideMark/>
                </w:tcPr>
                <w:p w14:paraId="09A13D0C"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907" w:type="dxa"/>
                  <w:tcBorders>
                    <w:top w:val="nil"/>
                    <w:left w:val="nil"/>
                    <w:bottom w:val="nil"/>
                    <w:right w:val="nil"/>
                  </w:tcBorders>
                  <w:shd w:val="clear" w:color="auto" w:fill="auto"/>
                  <w:noWrap/>
                  <w:vAlign w:val="bottom"/>
                  <w:hideMark/>
                </w:tcPr>
                <w:p w14:paraId="09AFA7DD"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14:paraId="32C78D1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71,9</w:t>
                  </w:r>
                </w:p>
              </w:tc>
              <w:tc>
                <w:tcPr>
                  <w:tcW w:w="907" w:type="dxa"/>
                  <w:tcBorders>
                    <w:top w:val="nil"/>
                    <w:left w:val="nil"/>
                    <w:bottom w:val="nil"/>
                    <w:right w:val="nil"/>
                  </w:tcBorders>
                  <w:shd w:val="clear" w:color="auto" w:fill="auto"/>
                  <w:noWrap/>
                  <w:vAlign w:val="bottom"/>
                  <w:hideMark/>
                </w:tcPr>
                <w:p w14:paraId="2C7CBA5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35,6</w:t>
                  </w:r>
                </w:p>
              </w:tc>
              <w:tc>
                <w:tcPr>
                  <w:tcW w:w="907" w:type="dxa"/>
                  <w:tcBorders>
                    <w:top w:val="nil"/>
                    <w:left w:val="nil"/>
                    <w:bottom w:val="nil"/>
                    <w:right w:val="nil"/>
                  </w:tcBorders>
                  <w:shd w:val="clear" w:color="auto" w:fill="auto"/>
                  <w:noWrap/>
                  <w:vAlign w:val="bottom"/>
                  <w:hideMark/>
                </w:tcPr>
                <w:p w14:paraId="4804A52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907" w:type="dxa"/>
                  <w:gridSpan w:val="2"/>
                  <w:tcBorders>
                    <w:top w:val="nil"/>
                    <w:left w:val="nil"/>
                    <w:bottom w:val="nil"/>
                    <w:right w:val="nil"/>
                  </w:tcBorders>
                  <w:shd w:val="clear" w:color="auto" w:fill="auto"/>
                  <w:noWrap/>
                  <w:vAlign w:val="bottom"/>
                  <w:hideMark/>
                </w:tcPr>
                <w:p w14:paraId="75404F9C"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107,6</w:t>
                  </w:r>
                </w:p>
              </w:tc>
            </w:tr>
            <w:tr w:rsidR="00BB0269" w:rsidRPr="000A3661" w14:paraId="2E2183BA" w14:textId="77777777" w:rsidTr="00571989">
              <w:trPr>
                <w:trHeight w:val="11"/>
              </w:trPr>
              <w:tc>
                <w:tcPr>
                  <w:tcW w:w="2778" w:type="dxa"/>
                  <w:tcBorders>
                    <w:top w:val="nil"/>
                    <w:left w:val="nil"/>
                    <w:bottom w:val="nil"/>
                    <w:right w:val="nil"/>
                  </w:tcBorders>
                  <w:shd w:val="clear" w:color="auto" w:fill="auto"/>
                  <w:noWrap/>
                  <w:vAlign w:val="bottom"/>
                  <w:hideMark/>
                </w:tcPr>
                <w:p w14:paraId="5648A336"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907" w:type="dxa"/>
                  <w:tcBorders>
                    <w:top w:val="nil"/>
                    <w:left w:val="nil"/>
                    <w:bottom w:val="nil"/>
                    <w:right w:val="nil"/>
                  </w:tcBorders>
                  <w:shd w:val="clear" w:color="auto" w:fill="auto"/>
                  <w:noWrap/>
                  <w:vAlign w:val="bottom"/>
                  <w:hideMark/>
                </w:tcPr>
                <w:p w14:paraId="3BAA28D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907" w:type="dxa"/>
                  <w:tcBorders>
                    <w:top w:val="nil"/>
                    <w:left w:val="nil"/>
                    <w:bottom w:val="nil"/>
                    <w:right w:val="nil"/>
                  </w:tcBorders>
                  <w:shd w:val="clear" w:color="auto" w:fill="auto"/>
                  <w:noWrap/>
                  <w:vAlign w:val="bottom"/>
                  <w:hideMark/>
                </w:tcPr>
                <w:p w14:paraId="09ED418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23,4</w:t>
                  </w:r>
                </w:p>
              </w:tc>
              <w:tc>
                <w:tcPr>
                  <w:tcW w:w="907" w:type="dxa"/>
                  <w:tcBorders>
                    <w:top w:val="nil"/>
                    <w:left w:val="nil"/>
                    <w:bottom w:val="nil"/>
                    <w:right w:val="nil"/>
                  </w:tcBorders>
                  <w:shd w:val="clear" w:color="auto" w:fill="auto"/>
                  <w:noWrap/>
                  <w:vAlign w:val="bottom"/>
                  <w:hideMark/>
                </w:tcPr>
                <w:p w14:paraId="6DF7C330"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3,1</w:t>
                  </w:r>
                </w:p>
              </w:tc>
              <w:tc>
                <w:tcPr>
                  <w:tcW w:w="907" w:type="dxa"/>
                  <w:tcBorders>
                    <w:top w:val="nil"/>
                    <w:left w:val="nil"/>
                    <w:bottom w:val="nil"/>
                    <w:right w:val="nil"/>
                  </w:tcBorders>
                  <w:shd w:val="clear" w:color="auto" w:fill="auto"/>
                  <w:noWrap/>
                  <w:vAlign w:val="bottom"/>
                  <w:hideMark/>
                </w:tcPr>
                <w:p w14:paraId="5507FEE6"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1,4</w:t>
                  </w:r>
                </w:p>
              </w:tc>
              <w:tc>
                <w:tcPr>
                  <w:tcW w:w="907" w:type="dxa"/>
                  <w:gridSpan w:val="2"/>
                  <w:tcBorders>
                    <w:top w:val="nil"/>
                    <w:left w:val="nil"/>
                    <w:bottom w:val="nil"/>
                    <w:right w:val="nil"/>
                  </w:tcBorders>
                  <w:shd w:val="clear" w:color="auto" w:fill="auto"/>
                  <w:noWrap/>
                  <w:vAlign w:val="bottom"/>
                  <w:hideMark/>
                </w:tcPr>
                <w:p w14:paraId="2ECA9E23"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27,9</w:t>
                  </w:r>
                </w:p>
              </w:tc>
            </w:tr>
            <w:tr w:rsidR="00BB0269" w:rsidRPr="000A3661" w14:paraId="38F9DC9F" w14:textId="77777777" w:rsidTr="00571989">
              <w:trPr>
                <w:trHeight w:val="11"/>
              </w:trPr>
              <w:tc>
                <w:tcPr>
                  <w:tcW w:w="2778" w:type="dxa"/>
                  <w:tcBorders>
                    <w:top w:val="nil"/>
                    <w:left w:val="nil"/>
                    <w:bottom w:val="nil"/>
                    <w:right w:val="nil"/>
                  </w:tcBorders>
                  <w:shd w:val="clear" w:color="auto" w:fill="auto"/>
                  <w:noWrap/>
                  <w:vAlign w:val="bottom"/>
                  <w:hideMark/>
                </w:tcPr>
                <w:p w14:paraId="56C73655"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907" w:type="dxa"/>
                  <w:tcBorders>
                    <w:top w:val="nil"/>
                    <w:left w:val="nil"/>
                    <w:bottom w:val="nil"/>
                    <w:right w:val="nil"/>
                  </w:tcBorders>
                  <w:shd w:val="clear" w:color="auto" w:fill="auto"/>
                  <w:noWrap/>
                  <w:vAlign w:val="bottom"/>
                  <w:hideMark/>
                </w:tcPr>
                <w:p w14:paraId="337C4AD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4,5</w:t>
                  </w:r>
                </w:p>
              </w:tc>
              <w:tc>
                <w:tcPr>
                  <w:tcW w:w="907" w:type="dxa"/>
                  <w:tcBorders>
                    <w:top w:val="nil"/>
                    <w:left w:val="nil"/>
                    <w:bottom w:val="nil"/>
                    <w:right w:val="nil"/>
                  </w:tcBorders>
                  <w:shd w:val="clear" w:color="auto" w:fill="auto"/>
                  <w:noWrap/>
                  <w:vAlign w:val="bottom"/>
                  <w:hideMark/>
                </w:tcPr>
                <w:p w14:paraId="424F425D"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9,6</w:t>
                  </w:r>
                </w:p>
              </w:tc>
              <w:tc>
                <w:tcPr>
                  <w:tcW w:w="907" w:type="dxa"/>
                  <w:tcBorders>
                    <w:top w:val="nil"/>
                    <w:left w:val="nil"/>
                    <w:bottom w:val="nil"/>
                    <w:right w:val="nil"/>
                  </w:tcBorders>
                  <w:shd w:val="clear" w:color="auto" w:fill="auto"/>
                  <w:noWrap/>
                  <w:vAlign w:val="bottom"/>
                  <w:hideMark/>
                </w:tcPr>
                <w:p w14:paraId="75B1CF16"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11,3</w:t>
                  </w:r>
                </w:p>
              </w:tc>
              <w:tc>
                <w:tcPr>
                  <w:tcW w:w="907" w:type="dxa"/>
                  <w:tcBorders>
                    <w:top w:val="nil"/>
                    <w:left w:val="nil"/>
                    <w:bottom w:val="nil"/>
                    <w:right w:val="nil"/>
                  </w:tcBorders>
                  <w:shd w:val="clear" w:color="auto" w:fill="auto"/>
                  <w:noWrap/>
                  <w:vAlign w:val="bottom"/>
                  <w:hideMark/>
                </w:tcPr>
                <w:p w14:paraId="41626F0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6,5</w:t>
                  </w:r>
                </w:p>
              </w:tc>
              <w:tc>
                <w:tcPr>
                  <w:tcW w:w="907" w:type="dxa"/>
                  <w:gridSpan w:val="2"/>
                  <w:tcBorders>
                    <w:top w:val="nil"/>
                    <w:left w:val="nil"/>
                    <w:bottom w:val="nil"/>
                    <w:right w:val="nil"/>
                  </w:tcBorders>
                  <w:shd w:val="clear" w:color="auto" w:fill="auto"/>
                  <w:noWrap/>
                  <w:vAlign w:val="bottom"/>
                  <w:hideMark/>
                </w:tcPr>
                <w:p w14:paraId="78498ED8"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31,9</w:t>
                  </w:r>
                </w:p>
              </w:tc>
            </w:tr>
            <w:tr w:rsidR="00BB0269" w:rsidRPr="000A3661" w14:paraId="6276DF60" w14:textId="77777777" w:rsidTr="00571989">
              <w:trPr>
                <w:trHeight w:val="11"/>
              </w:trPr>
              <w:tc>
                <w:tcPr>
                  <w:tcW w:w="2778" w:type="dxa"/>
                  <w:tcBorders>
                    <w:top w:val="nil"/>
                    <w:left w:val="nil"/>
                    <w:bottom w:val="nil"/>
                    <w:right w:val="nil"/>
                  </w:tcBorders>
                  <w:shd w:val="clear" w:color="auto" w:fill="auto"/>
                  <w:noWrap/>
                  <w:vAlign w:val="bottom"/>
                  <w:hideMark/>
                </w:tcPr>
                <w:p w14:paraId="649185D1"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907" w:type="dxa"/>
                  <w:tcBorders>
                    <w:top w:val="nil"/>
                    <w:left w:val="nil"/>
                    <w:bottom w:val="nil"/>
                    <w:right w:val="nil"/>
                  </w:tcBorders>
                  <w:shd w:val="clear" w:color="auto" w:fill="auto"/>
                  <w:noWrap/>
                  <w:vAlign w:val="bottom"/>
                  <w:hideMark/>
                </w:tcPr>
                <w:p w14:paraId="3DC79CC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2,8</w:t>
                  </w:r>
                </w:p>
              </w:tc>
              <w:tc>
                <w:tcPr>
                  <w:tcW w:w="907" w:type="dxa"/>
                  <w:tcBorders>
                    <w:top w:val="nil"/>
                    <w:left w:val="nil"/>
                    <w:bottom w:val="nil"/>
                    <w:right w:val="nil"/>
                  </w:tcBorders>
                  <w:shd w:val="clear" w:color="auto" w:fill="auto"/>
                  <w:noWrap/>
                  <w:vAlign w:val="bottom"/>
                  <w:hideMark/>
                </w:tcPr>
                <w:p w14:paraId="2DD5A5A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907" w:type="dxa"/>
                  <w:tcBorders>
                    <w:top w:val="nil"/>
                    <w:left w:val="nil"/>
                    <w:bottom w:val="nil"/>
                    <w:right w:val="nil"/>
                  </w:tcBorders>
                  <w:shd w:val="clear" w:color="auto" w:fill="auto"/>
                  <w:noWrap/>
                  <w:vAlign w:val="bottom"/>
                  <w:hideMark/>
                </w:tcPr>
                <w:p w14:paraId="7840D61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907" w:type="dxa"/>
                  <w:tcBorders>
                    <w:top w:val="nil"/>
                    <w:left w:val="nil"/>
                    <w:bottom w:val="nil"/>
                    <w:right w:val="nil"/>
                  </w:tcBorders>
                  <w:shd w:val="clear" w:color="auto" w:fill="auto"/>
                  <w:noWrap/>
                  <w:vAlign w:val="bottom"/>
                  <w:hideMark/>
                </w:tcPr>
                <w:p w14:paraId="6A61920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907" w:type="dxa"/>
                  <w:gridSpan w:val="2"/>
                  <w:tcBorders>
                    <w:top w:val="nil"/>
                    <w:left w:val="nil"/>
                    <w:bottom w:val="nil"/>
                    <w:right w:val="nil"/>
                  </w:tcBorders>
                  <w:shd w:val="clear" w:color="auto" w:fill="auto"/>
                  <w:noWrap/>
                  <w:vAlign w:val="bottom"/>
                  <w:hideMark/>
                </w:tcPr>
                <w:p w14:paraId="3C2B415A"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11,6</w:t>
                  </w:r>
                </w:p>
              </w:tc>
            </w:tr>
            <w:tr w:rsidR="00BB0269" w:rsidRPr="000A3661" w14:paraId="7C32CA45" w14:textId="77777777" w:rsidTr="00571989">
              <w:trPr>
                <w:trHeight w:val="11"/>
              </w:trPr>
              <w:tc>
                <w:tcPr>
                  <w:tcW w:w="2778" w:type="dxa"/>
                  <w:tcBorders>
                    <w:top w:val="nil"/>
                    <w:left w:val="nil"/>
                    <w:bottom w:val="nil"/>
                    <w:right w:val="nil"/>
                  </w:tcBorders>
                  <w:shd w:val="clear" w:color="auto" w:fill="auto"/>
                  <w:noWrap/>
                  <w:vAlign w:val="bottom"/>
                  <w:hideMark/>
                </w:tcPr>
                <w:p w14:paraId="0564633C"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na pokrycie kosztów pośrednich</w:t>
                  </w:r>
                </w:p>
              </w:tc>
              <w:tc>
                <w:tcPr>
                  <w:tcW w:w="907" w:type="dxa"/>
                  <w:tcBorders>
                    <w:top w:val="nil"/>
                    <w:left w:val="nil"/>
                    <w:bottom w:val="nil"/>
                    <w:right w:val="nil"/>
                  </w:tcBorders>
                  <w:shd w:val="clear" w:color="auto" w:fill="auto"/>
                  <w:noWrap/>
                  <w:vAlign w:val="bottom"/>
                  <w:hideMark/>
                </w:tcPr>
                <w:p w14:paraId="773FA3D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907" w:type="dxa"/>
                  <w:tcBorders>
                    <w:top w:val="nil"/>
                    <w:left w:val="nil"/>
                    <w:bottom w:val="nil"/>
                    <w:right w:val="nil"/>
                  </w:tcBorders>
                  <w:shd w:val="clear" w:color="auto" w:fill="auto"/>
                  <w:noWrap/>
                  <w:vAlign w:val="bottom"/>
                  <w:hideMark/>
                </w:tcPr>
                <w:p w14:paraId="5F7DBEBB"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907" w:type="dxa"/>
                  <w:tcBorders>
                    <w:top w:val="nil"/>
                    <w:left w:val="nil"/>
                    <w:bottom w:val="nil"/>
                    <w:right w:val="nil"/>
                  </w:tcBorders>
                  <w:shd w:val="clear" w:color="auto" w:fill="auto"/>
                  <w:noWrap/>
                  <w:vAlign w:val="bottom"/>
                  <w:hideMark/>
                </w:tcPr>
                <w:p w14:paraId="760AF25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0,7</w:t>
                  </w:r>
                </w:p>
              </w:tc>
              <w:tc>
                <w:tcPr>
                  <w:tcW w:w="907" w:type="dxa"/>
                  <w:tcBorders>
                    <w:top w:val="nil"/>
                    <w:left w:val="nil"/>
                    <w:bottom w:val="nil"/>
                    <w:right w:val="nil"/>
                  </w:tcBorders>
                  <w:shd w:val="clear" w:color="auto" w:fill="auto"/>
                  <w:noWrap/>
                  <w:vAlign w:val="bottom"/>
                  <w:hideMark/>
                </w:tcPr>
                <w:p w14:paraId="1D0098E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907" w:type="dxa"/>
                  <w:gridSpan w:val="2"/>
                  <w:tcBorders>
                    <w:top w:val="nil"/>
                    <w:left w:val="nil"/>
                    <w:bottom w:val="nil"/>
                    <w:right w:val="nil"/>
                  </w:tcBorders>
                  <w:shd w:val="clear" w:color="auto" w:fill="auto"/>
                  <w:noWrap/>
                  <w:vAlign w:val="bottom"/>
                  <w:hideMark/>
                </w:tcPr>
                <w:p w14:paraId="3AF5A11E"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2,2</w:t>
                  </w:r>
                </w:p>
              </w:tc>
            </w:tr>
            <w:tr w:rsidR="00BB0269" w:rsidRPr="000A3661" w14:paraId="4998F295" w14:textId="77777777" w:rsidTr="00571989">
              <w:trPr>
                <w:trHeight w:val="11"/>
              </w:trPr>
              <w:tc>
                <w:tcPr>
                  <w:tcW w:w="2778" w:type="dxa"/>
                  <w:tcBorders>
                    <w:top w:val="nil"/>
                    <w:left w:val="nil"/>
                    <w:bottom w:val="nil"/>
                    <w:right w:val="nil"/>
                  </w:tcBorders>
                  <w:shd w:val="clear" w:color="auto" w:fill="auto"/>
                  <w:noWrap/>
                  <w:vAlign w:val="bottom"/>
                  <w:hideMark/>
                </w:tcPr>
                <w:p w14:paraId="4386B91E"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907" w:type="dxa"/>
                  <w:tcBorders>
                    <w:top w:val="nil"/>
                    <w:left w:val="nil"/>
                    <w:bottom w:val="nil"/>
                    <w:right w:val="nil"/>
                  </w:tcBorders>
                  <w:shd w:val="clear" w:color="auto" w:fill="auto"/>
                  <w:noWrap/>
                  <w:vAlign w:val="bottom"/>
                  <w:hideMark/>
                </w:tcPr>
                <w:p w14:paraId="22789E1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14:paraId="0855012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0,2</w:t>
                  </w:r>
                </w:p>
              </w:tc>
              <w:tc>
                <w:tcPr>
                  <w:tcW w:w="907" w:type="dxa"/>
                  <w:tcBorders>
                    <w:top w:val="nil"/>
                    <w:left w:val="nil"/>
                    <w:bottom w:val="nil"/>
                    <w:right w:val="nil"/>
                  </w:tcBorders>
                  <w:shd w:val="clear" w:color="auto" w:fill="auto"/>
                  <w:noWrap/>
                  <w:vAlign w:val="bottom"/>
                  <w:hideMark/>
                </w:tcPr>
                <w:p w14:paraId="40198B6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14:paraId="2F06F47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907" w:type="dxa"/>
                  <w:gridSpan w:val="2"/>
                  <w:tcBorders>
                    <w:top w:val="nil"/>
                    <w:left w:val="nil"/>
                    <w:bottom w:val="nil"/>
                    <w:right w:val="nil"/>
                  </w:tcBorders>
                  <w:shd w:val="clear" w:color="auto" w:fill="auto"/>
                  <w:noWrap/>
                  <w:vAlign w:val="bottom"/>
                  <w:hideMark/>
                </w:tcPr>
                <w:p w14:paraId="38DE7771"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0,4</w:t>
                  </w:r>
                </w:p>
              </w:tc>
            </w:tr>
            <w:tr w:rsidR="00BB0269" w:rsidRPr="000A3661" w14:paraId="59D82213" w14:textId="77777777" w:rsidTr="00571989">
              <w:trPr>
                <w:trHeight w:val="11"/>
              </w:trPr>
              <w:tc>
                <w:tcPr>
                  <w:tcW w:w="2778" w:type="dxa"/>
                  <w:tcBorders>
                    <w:top w:val="nil"/>
                    <w:left w:val="nil"/>
                    <w:bottom w:val="nil"/>
                    <w:right w:val="nil"/>
                  </w:tcBorders>
                  <w:shd w:val="clear" w:color="auto" w:fill="auto"/>
                  <w:noWrap/>
                  <w:vAlign w:val="bottom"/>
                  <w:hideMark/>
                </w:tcPr>
                <w:p w14:paraId="0B9F1161"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907" w:type="dxa"/>
                  <w:tcBorders>
                    <w:top w:val="nil"/>
                    <w:left w:val="nil"/>
                    <w:bottom w:val="nil"/>
                    <w:right w:val="nil"/>
                  </w:tcBorders>
                  <w:shd w:val="clear" w:color="auto" w:fill="auto"/>
                  <w:noWrap/>
                  <w:vAlign w:val="bottom"/>
                  <w:hideMark/>
                </w:tcPr>
                <w:p w14:paraId="706A622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14:paraId="3C44103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907" w:type="dxa"/>
                  <w:tcBorders>
                    <w:top w:val="nil"/>
                    <w:left w:val="nil"/>
                    <w:bottom w:val="nil"/>
                    <w:right w:val="nil"/>
                  </w:tcBorders>
                  <w:shd w:val="clear" w:color="auto" w:fill="auto"/>
                  <w:noWrap/>
                  <w:vAlign w:val="bottom"/>
                  <w:hideMark/>
                </w:tcPr>
                <w:p w14:paraId="1A2EE1AE"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907" w:type="dxa"/>
                  <w:tcBorders>
                    <w:top w:val="nil"/>
                    <w:left w:val="nil"/>
                    <w:bottom w:val="nil"/>
                    <w:right w:val="nil"/>
                  </w:tcBorders>
                  <w:shd w:val="clear" w:color="auto" w:fill="auto"/>
                  <w:noWrap/>
                  <w:vAlign w:val="bottom"/>
                  <w:hideMark/>
                </w:tcPr>
                <w:p w14:paraId="13947F9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907" w:type="dxa"/>
                  <w:gridSpan w:val="2"/>
                  <w:tcBorders>
                    <w:top w:val="nil"/>
                    <w:left w:val="nil"/>
                    <w:bottom w:val="nil"/>
                    <w:right w:val="nil"/>
                  </w:tcBorders>
                  <w:shd w:val="clear" w:color="auto" w:fill="auto"/>
                  <w:noWrap/>
                  <w:vAlign w:val="bottom"/>
                  <w:hideMark/>
                </w:tcPr>
                <w:p w14:paraId="42EEAFB9"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1,4</w:t>
                  </w:r>
                </w:p>
              </w:tc>
            </w:tr>
            <w:tr w:rsidR="00BB0269" w:rsidRPr="000A3661" w14:paraId="542D1356" w14:textId="77777777" w:rsidTr="00571989">
              <w:trPr>
                <w:trHeight w:val="11"/>
              </w:trPr>
              <w:tc>
                <w:tcPr>
                  <w:tcW w:w="2778" w:type="dxa"/>
                  <w:tcBorders>
                    <w:top w:val="nil"/>
                    <w:left w:val="nil"/>
                    <w:bottom w:val="nil"/>
                    <w:right w:val="nil"/>
                  </w:tcBorders>
                  <w:shd w:val="clear" w:color="auto" w:fill="auto"/>
                  <w:noWrap/>
                  <w:vAlign w:val="bottom"/>
                  <w:hideMark/>
                </w:tcPr>
                <w:p w14:paraId="53A012E2"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907" w:type="dxa"/>
                  <w:tcBorders>
                    <w:top w:val="nil"/>
                    <w:left w:val="nil"/>
                    <w:bottom w:val="nil"/>
                    <w:right w:val="nil"/>
                  </w:tcBorders>
                  <w:shd w:val="clear" w:color="auto" w:fill="auto"/>
                  <w:noWrap/>
                  <w:vAlign w:val="bottom"/>
                  <w:hideMark/>
                </w:tcPr>
                <w:p w14:paraId="3F015C1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0,8</w:t>
                  </w:r>
                </w:p>
              </w:tc>
              <w:tc>
                <w:tcPr>
                  <w:tcW w:w="907" w:type="dxa"/>
                  <w:tcBorders>
                    <w:top w:val="nil"/>
                    <w:left w:val="nil"/>
                    <w:bottom w:val="nil"/>
                    <w:right w:val="nil"/>
                  </w:tcBorders>
                  <w:shd w:val="clear" w:color="auto" w:fill="auto"/>
                  <w:noWrap/>
                  <w:vAlign w:val="bottom"/>
                  <w:hideMark/>
                </w:tcPr>
                <w:p w14:paraId="3236BF1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w:t>
                  </w:r>
                </w:p>
              </w:tc>
              <w:tc>
                <w:tcPr>
                  <w:tcW w:w="907" w:type="dxa"/>
                  <w:tcBorders>
                    <w:top w:val="nil"/>
                    <w:left w:val="nil"/>
                    <w:bottom w:val="nil"/>
                    <w:right w:val="nil"/>
                  </w:tcBorders>
                  <w:shd w:val="clear" w:color="auto" w:fill="auto"/>
                  <w:noWrap/>
                  <w:vAlign w:val="bottom"/>
                  <w:hideMark/>
                </w:tcPr>
                <w:p w14:paraId="794D9BE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907" w:type="dxa"/>
                  <w:tcBorders>
                    <w:top w:val="nil"/>
                    <w:left w:val="nil"/>
                    <w:bottom w:val="nil"/>
                    <w:right w:val="nil"/>
                  </w:tcBorders>
                  <w:shd w:val="clear" w:color="auto" w:fill="auto"/>
                  <w:noWrap/>
                  <w:vAlign w:val="bottom"/>
                  <w:hideMark/>
                </w:tcPr>
                <w:p w14:paraId="3164241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907" w:type="dxa"/>
                  <w:gridSpan w:val="2"/>
                  <w:tcBorders>
                    <w:top w:val="nil"/>
                    <w:left w:val="nil"/>
                    <w:bottom w:val="nil"/>
                    <w:right w:val="nil"/>
                  </w:tcBorders>
                  <w:shd w:val="clear" w:color="auto" w:fill="auto"/>
                  <w:noWrap/>
                  <w:vAlign w:val="bottom"/>
                  <w:hideMark/>
                </w:tcPr>
                <w:p w14:paraId="69C8B74E"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5,3</w:t>
                  </w:r>
                </w:p>
              </w:tc>
            </w:tr>
            <w:tr w:rsidR="00BB0269" w:rsidRPr="000A3661" w14:paraId="5C4D2790" w14:textId="77777777" w:rsidTr="00571989">
              <w:trPr>
                <w:trHeight w:val="11"/>
              </w:trPr>
              <w:tc>
                <w:tcPr>
                  <w:tcW w:w="2778" w:type="dxa"/>
                  <w:tcBorders>
                    <w:top w:val="single" w:sz="4" w:space="0" w:color="5B9BD5"/>
                    <w:left w:val="nil"/>
                    <w:bottom w:val="double" w:sz="6" w:space="0" w:color="5B9BD5"/>
                    <w:right w:val="nil"/>
                  </w:tcBorders>
                  <w:shd w:val="clear" w:color="auto" w:fill="auto"/>
                  <w:noWrap/>
                  <w:vAlign w:val="bottom"/>
                  <w:hideMark/>
                </w:tcPr>
                <w:p w14:paraId="604BA893" w14:textId="77777777" w:rsidR="00BB0269" w:rsidRPr="00571989" w:rsidRDefault="00BB0269" w:rsidP="00BB0269">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907" w:type="dxa"/>
                  <w:tcBorders>
                    <w:top w:val="single" w:sz="4" w:space="0" w:color="5B9BD5"/>
                    <w:left w:val="nil"/>
                    <w:bottom w:val="double" w:sz="6" w:space="0" w:color="5B9BD5"/>
                    <w:right w:val="nil"/>
                  </w:tcBorders>
                  <w:shd w:val="clear" w:color="auto" w:fill="auto"/>
                  <w:noWrap/>
                  <w:vAlign w:val="bottom"/>
                  <w:hideMark/>
                </w:tcPr>
                <w:p w14:paraId="518F038A"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8,7</w:t>
                  </w:r>
                </w:p>
              </w:tc>
              <w:tc>
                <w:tcPr>
                  <w:tcW w:w="907" w:type="dxa"/>
                  <w:tcBorders>
                    <w:top w:val="single" w:sz="4" w:space="0" w:color="5B9BD5"/>
                    <w:left w:val="nil"/>
                    <w:bottom w:val="double" w:sz="6" w:space="0" w:color="5B9BD5"/>
                    <w:right w:val="nil"/>
                  </w:tcBorders>
                  <w:shd w:val="clear" w:color="auto" w:fill="auto"/>
                  <w:noWrap/>
                  <w:vAlign w:val="bottom"/>
                  <w:hideMark/>
                </w:tcPr>
                <w:p w14:paraId="7687B3CD"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111,8</w:t>
                  </w:r>
                </w:p>
              </w:tc>
              <w:tc>
                <w:tcPr>
                  <w:tcW w:w="907" w:type="dxa"/>
                  <w:tcBorders>
                    <w:top w:val="single" w:sz="4" w:space="0" w:color="5B9BD5"/>
                    <w:left w:val="nil"/>
                    <w:bottom w:val="double" w:sz="6" w:space="0" w:color="5B9BD5"/>
                    <w:right w:val="nil"/>
                  </w:tcBorders>
                  <w:shd w:val="clear" w:color="auto" w:fill="auto"/>
                  <w:noWrap/>
                  <w:vAlign w:val="bottom"/>
                  <w:hideMark/>
                </w:tcPr>
                <w:p w14:paraId="4F09A42D"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56,5</w:t>
                  </w:r>
                </w:p>
              </w:tc>
              <w:tc>
                <w:tcPr>
                  <w:tcW w:w="907" w:type="dxa"/>
                  <w:tcBorders>
                    <w:top w:val="single" w:sz="4" w:space="0" w:color="5B9BD5"/>
                    <w:left w:val="nil"/>
                    <w:bottom w:val="double" w:sz="6" w:space="0" w:color="5B9BD5"/>
                    <w:right w:val="nil"/>
                  </w:tcBorders>
                  <w:shd w:val="clear" w:color="auto" w:fill="auto"/>
                  <w:noWrap/>
                  <w:vAlign w:val="bottom"/>
                  <w:hideMark/>
                </w:tcPr>
                <w:p w14:paraId="3FEC30FB"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11,3</w:t>
                  </w:r>
                </w:p>
              </w:tc>
              <w:tc>
                <w:tcPr>
                  <w:tcW w:w="907" w:type="dxa"/>
                  <w:gridSpan w:val="2"/>
                  <w:tcBorders>
                    <w:top w:val="single" w:sz="4" w:space="0" w:color="5B9BD5"/>
                    <w:left w:val="nil"/>
                    <w:bottom w:val="double" w:sz="6" w:space="0" w:color="5B9BD5"/>
                    <w:right w:val="nil"/>
                  </w:tcBorders>
                  <w:shd w:val="clear" w:color="auto" w:fill="auto"/>
                  <w:noWrap/>
                  <w:vAlign w:val="bottom"/>
                  <w:hideMark/>
                </w:tcPr>
                <w:p w14:paraId="631FF6D5"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188,3</w:t>
                  </w:r>
                </w:p>
              </w:tc>
            </w:tr>
          </w:tbl>
          <w:p w14:paraId="16F3A584" w14:textId="77777777" w:rsidR="00BB0269" w:rsidRDefault="00BB0269" w:rsidP="00DA60BA">
            <w:pPr>
              <w:spacing w:after="0" w:line="240" w:lineRule="auto"/>
              <w:jc w:val="both"/>
              <w:rPr>
                <w:rFonts w:ascii="Times New Roman" w:eastAsia="Calibri" w:hAnsi="Times New Roman" w:cs="Times New Roman"/>
                <w:color w:val="000000"/>
                <w:sz w:val="21"/>
                <w:szCs w:val="21"/>
              </w:rPr>
            </w:pPr>
          </w:p>
          <w:p w14:paraId="1C218981" w14:textId="77777777" w:rsidR="00BB0269" w:rsidRDefault="00BB0269" w:rsidP="00DA60BA">
            <w:pPr>
              <w:spacing w:after="0" w:line="240" w:lineRule="auto"/>
              <w:jc w:val="both"/>
              <w:rPr>
                <w:rFonts w:ascii="Times New Roman" w:eastAsia="Calibri" w:hAnsi="Times New Roman" w:cs="Times New Roman"/>
                <w:color w:val="000000"/>
                <w:sz w:val="21"/>
                <w:szCs w:val="21"/>
              </w:rPr>
            </w:pPr>
            <w:r w:rsidRPr="000D5EEB">
              <w:rPr>
                <w:rFonts w:ascii="Times New Roman" w:eastAsia="Times New Roman" w:hAnsi="Times New Roman" w:cs="Times New Roman"/>
                <w:color w:val="000000"/>
                <w:sz w:val="16"/>
                <w:szCs w:val="24"/>
                <w:lang w:eastAsia="pl-PL"/>
              </w:rPr>
              <w:t>Wydatki na realizację projektu WIIP finansowane z cz. 27 - Informatyzacja (dotacja celowa)</w:t>
            </w:r>
          </w:p>
          <w:tbl>
            <w:tblPr>
              <w:tblW w:w="7937" w:type="dxa"/>
              <w:tblLayout w:type="fixed"/>
              <w:tblCellMar>
                <w:left w:w="70" w:type="dxa"/>
                <w:right w:w="70" w:type="dxa"/>
              </w:tblCellMar>
              <w:tblLook w:val="04A0" w:firstRow="1" w:lastRow="0" w:firstColumn="1" w:lastColumn="0" w:noHBand="0" w:noVBand="1"/>
            </w:tblPr>
            <w:tblGrid>
              <w:gridCol w:w="4252"/>
              <w:gridCol w:w="737"/>
              <w:gridCol w:w="737"/>
              <w:gridCol w:w="737"/>
              <w:gridCol w:w="737"/>
              <w:gridCol w:w="737"/>
            </w:tblGrid>
            <w:tr w:rsidR="00BB0269" w:rsidRPr="000A3661" w14:paraId="11E61A99" w14:textId="77777777" w:rsidTr="00571989">
              <w:trPr>
                <w:trHeight w:val="20"/>
              </w:trPr>
              <w:tc>
                <w:tcPr>
                  <w:tcW w:w="4252" w:type="dxa"/>
                  <w:tcBorders>
                    <w:top w:val="nil"/>
                    <w:left w:val="nil"/>
                    <w:bottom w:val="nil"/>
                    <w:right w:val="nil"/>
                  </w:tcBorders>
                  <w:shd w:val="clear" w:color="000000" w:fill="5B9BD5"/>
                  <w:noWrap/>
                  <w:vAlign w:val="bottom"/>
                  <w:hideMark/>
                </w:tcPr>
                <w:p w14:paraId="4DA4D774" w14:textId="77777777"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737" w:type="dxa"/>
                  <w:tcBorders>
                    <w:top w:val="nil"/>
                    <w:left w:val="nil"/>
                    <w:bottom w:val="nil"/>
                    <w:right w:val="nil"/>
                  </w:tcBorders>
                  <w:shd w:val="clear" w:color="000000" w:fill="5B9BD5"/>
                  <w:noWrap/>
                  <w:vAlign w:val="bottom"/>
                  <w:hideMark/>
                </w:tcPr>
                <w:p w14:paraId="47EA62D1"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737" w:type="dxa"/>
                  <w:tcBorders>
                    <w:top w:val="nil"/>
                    <w:left w:val="nil"/>
                    <w:bottom w:val="nil"/>
                    <w:right w:val="nil"/>
                  </w:tcBorders>
                  <w:shd w:val="clear" w:color="000000" w:fill="5B9BD5"/>
                  <w:noWrap/>
                  <w:vAlign w:val="bottom"/>
                  <w:hideMark/>
                </w:tcPr>
                <w:p w14:paraId="05DDD86D"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737" w:type="dxa"/>
                  <w:tcBorders>
                    <w:top w:val="nil"/>
                    <w:left w:val="nil"/>
                    <w:bottom w:val="nil"/>
                    <w:right w:val="nil"/>
                  </w:tcBorders>
                  <w:shd w:val="clear" w:color="000000" w:fill="5B9BD5"/>
                  <w:noWrap/>
                  <w:vAlign w:val="bottom"/>
                  <w:hideMark/>
                </w:tcPr>
                <w:p w14:paraId="2AC481AD"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737" w:type="dxa"/>
                  <w:tcBorders>
                    <w:top w:val="nil"/>
                    <w:left w:val="nil"/>
                    <w:bottom w:val="nil"/>
                    <w:right w:val="nil"/>
                  </w:tcBorders>
                  <w:shd w:val="clear" w:color="000000" w:fill="5B9BD5"/>
                  <w:noWrap/>
                  <w:vAlign w:val="bottom"/>
                  <w:hideMark/>
                </w:tcPr>
                <w:p w14:paraId="4FAF868A"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737" w:type="dxa"/>
                  <w:tcBorders>
                    <w:top w:val="nil"/>
                    <w:left w:val="nil"/>
                    <w:bottom w:val="nil"/>
                    <w:right w:val="nil"/>
                  </w:tcBorders>
                  <w:shd w:val="clear" w:color="000000" w:fill="5B9BD5"/>
                  <w:noWrap/>
                  <w:vAlign w:val="bottom"/>
                  <w:hideMark/>
                </w:tcPr>
                <w:p w14:paraId="1BC93AEB" w14:textId="77777777"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BB0269" w:rsidRPr="000A3661" w14:paraId="5FA6EC8C" w14:textId="77777777" w:rsidTr="00571989">
              <w:trPr>
                <w:trHeight w:val="20"/>
              </w:trPr>
              <w:tc>
                <w:tcPr>
                  <w:tcW w:w="4252" w:type="dxa"/>
                  <w:tcBorders>
                    <w:top w:val="nil"/>
                    <w:left w:val="nil"/>
                    <w:bottom w:val="nil"/>
                    <w:right w:val="nil"/>
                  </w:tcBorders>
                  <w:shd w:val="clear" w:color="auto" w:fill="auto"/>
                  <w:noWrap/>
                  <w:vAlign w:val="bottom"/>
                  <w:hideMark/>
                </w:tcPr>
                <w:p w14:paraId="43970F29"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737" w:type="dxa"/>
                  <w:tcBorders>
                    <w:top w:val="nil"/>
                    <w:left w:val="nil"/>
                    <w:bottom w:val="nil"/>
                    <w:right w:val="nil"/>
                  </w:tcBorders>
                  <w:shd w:val="clear" w:color="auto" w:fill="auto"/>
                  <w:noWrap/>
                  <w:vAlign w:val="bottom"/>
                  <w:hideMark/>
                </w:tcPr>
                <w:p w14:paraId="152D7ED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0D68145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CE1085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100A27C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70A406D4"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2966CB4E" w14:textId="77777777" w:rsidTr="00571989">
              <w:trPr>
                <w:trHeight w:val="20"/>
              </w:trPr>
              <w:tc>
                <w:tcPr>
                  <w:tcW w:w="4252" w:type="dxa"/>
                  <w:tcBorders>
                    <w:top w:val="nil"/>
                    <w:left w:val="nil"/>
                    <w:bottom w:val="nil"/>
                    <w:right w:val="nil"/>
                  </w:tcBorders>
                  <w:shd w:val="clear" w:color="auto" w:fill="auto"/>
                  <w:noWrap/>
                  <w:vAlign w:val="bottom"/>
                  <w:hideMark/>
                </w:tcPr>
                <w:p w14:paraId="21CDA8AD"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737" w:type="dxa"/>
                  <w:tcBorders>
                    <w:top w:val="nil"/>
                    <w:left w:val="nil"/>
                    <w:bottom w:val="nil"/>
                    <w:right w:val="nil"/>
                  </w:tcBorders>
                  <w:shd w:val="clear" w:color="auto" w:fill="auto"/>
                  <w:noWrap/>
                  <w:vAlign w:val="bottom"/>
                  <w:hideMark/>
                </w:tcPr>
                <w:p w14:paraId="69CCCB50"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70A0AD6D"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5F2A27FB"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F4CABE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B6C00C7"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6954DA90" w14:textId="77777777" w:rsidTr="00571989">
              <w:trPr>
                <w:trHeight w:val="20"/>
              </w:trPr>
              <w:tc>
                <w:tcPr>
                  <w:tcW w:w="4252" w:type="dxa"/>
                  <w:tcBorders>
                    <w:top w:val="nil"/>
                    <w:left w:val="nil"/>
                    <w:bottom w:val="nil"/>
                    <w:right w:val="nil"/>
                  </w:tcBorders>
                  <w:shd w:val="clear" w:color="auto" w:fill="auto"/>
                  <w:noWrap/>
                  <w:vAlign w:val="bottom"/>
                  <w:hideMark/>
                </w:tcPr>
                <w:p w14:paraId="6792304C"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737" w:type="dxa"/>
                  <w:tcBorders>
                    <w:top w:val="nil"/>
                    <w:left w:val="nil"/>
                    <w:bottom w:val="nil"/>
                    <w:right w:val="nil"/>
                  </w:tcBorders>
                  <w:shd w:val="clear" w:color="auto" w:fill="auto"/>
                  <w:noWrap/>
                  <w:vAlign w:val="bottom"/>
                  <w:hideMark/>
                </w:tcPr>
                <w:p w14:paraId="6E53BFF4"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0,9</w:t>
                  </w:r>
                </w:p>
              </w:tc>
              <w:tc>
                <w:tcPr>
                  <w:tcW w:w="737" w:type="dxa"/>
                  <w:tcBorders>
                    <w:top w:val="nil"/>
                    <w:left w:val="nil"/>
                    <w:bottom w:val="nil"/>
                    <w:right w:val="nil"/>
                  </w:tcBorders>
                  <w:shd w:val="clear" w:color="auto" w:fill="auto"/>
                  <w:noWrap/>
                  <w:vAlign w:val="bottom"/>
                  <w:hideMark/>
                </w:tcPr>
                <w:p w14:paraId="1DF7E68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4A52CE3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5BEB8C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0C4649E"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0,9</w:t>
                  </w:r>
                </w:p>
              </w:tc>
            </w:tr>
            <w:tr w:rsidR="00BB0269" w:rsidRPr="000A3661" w14:paraId="6D80E819" w14:textId="77777777" w:rsidTr="00571989">
              <w:trPr>
                <w:trHeight w:val="20"/>
              </w:trPr>
              <w:tc>
                <w:tcPr>
                  <w:tcW w:w="4252" w:type="dxa"/>
                  <w:tcBorders>
                    <w:top w:val="nil"/>
                    <w:left w:val="nil"/>
                    <w:bottom w:val="nil"/>
                    <w:right w:val="nil"/>
                  </w:tcBorders>
                  <w:shd w:val="clear" w:color="auto" w:fill="auto"/>
                  <w:noWrap/>
                  <w:vAlign w:val="bottom"/>
                  <w:hideMark/>
                </w:tcPr>
                <w:p w14:paraId="7751A5FE"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737" w:type="dxa"/>
                  <w:tcBorders>
                    <w:top w:val="nil"/>
                    <w:left w:val="nil"/>
                    <w:bottom w:val="nil"/>
                    <w:right w:val="nil"/>
                  </w:tcBorders>
                  <w:shd w:val="clear" w:color="auto" w:fill="auto"/>
                  <w:noWrap/>
                  <w:vAlign w:val="bottom"/>
                  <w:hideMark/>
                </w:tcPr>
                <w:p w14:paraId="1259FFC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21B559F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4549442D"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26C95E5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16343FD1"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37BB5146" w14:textId="77777777" w:rsidTr="00571989">
              <w:trPr>
                <w:trHeight w:val="20"/>
              </w:trPr>
              <w:tc>
                <w:tcPr>
                  <w:tcW w:w="4252" w:type="dxa"/>
                  <w:tcBorders>
                    <w:top w:val="nil"/>
                    <w:left w:val="nil"/>
                    <w:bottom w:val="nil"/>
                    <w:right w:val="nil"/>
                  </w:tcBorders>
                  <w:shd w:val="clear" w:color="auto" w:fill="auto"/>
                  <w:noWrap/>
                  <w:vAlign w:val="bottom"/>
                  <w:hideMark/>
                </w:tcPr>
                <w:p w14:paraId="0555099C"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na pokrycie kosztów pośrednich</w:t>
                  </w:r>
                </w:p>
              </w:tc>
              <w:tc>
                <w:tcPr>
                  <w:tcW w:w="737" w:type="dxa"/>
                  <w:tcBorders>
                    <w:top w:val="nil"/>
                    <w:left w:val="nil"/>
                    <w:bottom w:val="nil"/>
                    <w:right w:val="nil"/>
                  </w:tcBorders>
                  <w:shd w:val="clear" w:color="auto" w:fill="auto"/>
                  <w:noWrap/>
                  <w:vAlign w:val="bottom"/>
                  <w:hideMark/>
                </w:tcPr>
                <w:p w14:paraId="2A5E695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02FBBC8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0E7CF21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A605524"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0CAF2F6E"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6BECEF5E" w14:textId="77777777" w:rsidTr="00571989">
              <w:trPr>
                <w:trHeight w:val="20"/>
              </w:trPr>
              <w:tc>
                <w:tcPr>
                  <w:tcW w:w="4252" w:type="dxa"/>
                  <w:tcBorders>
                    <w:top w:val="nil"/>
                    <w:left w:val="nil"/>
                    <w:bottom w:val="nil"/>
                    <w:right w:val="nil"/>
                  </w:tcBorders>
                  <w:shd w:val="clear" w:color="auto" w:fill="auto"/>
                  <w:noWrap/>
                  <w:vAlign w:val="bottom"/>
                  <w:hideMark/>
                </w:tcPr>
                <w:p w14:paraId="2829BAC1"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737" w:type="dxa"/>
                  <w:tcBorders>
                    <w:top w:val="nil"/>
                    <w:left w:val="nil"/>
                    <w:bottom w:val="nil"/>
                    <w:right w:val="nil"/>
                  </w:tcBorders>
                  <w:shd w:val="clear" w:color="auto" w:fill="auto"/>
                  <w:noWrap/>
                  <w:vAlign w:val="bottom"/>
                  <w:hideMark/>
                </w:tcPr>
                <w:p w14:paraId="63EE4D2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48130FE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1E572F3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11BA762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395423C4"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49B9997A" w14:textId="77777777" w:rsidTr="00571989">
              <w:trPr>
                <w:trHeight w:val="20"/>
              </w:trPr>
              <w:tc>
                <w:tcPr>
                  <w:tcW w:w="4252" w:type="dxa"/>
                  <w:tcBorders>
                    <w:top w:val="nil"/>
                    <w:left w:val="nil"/>
                    <w:bottom w:val="nil"/>
                    <w:right w:val="nil"/>
                  </w:tcBorders>
                  <w:shd w:val="clear" w:color="auto" w:fill="auto"/>
                  <w:noWrap/>
                  <w:vAlign w:val="bottom"/>
                  <w:hideMark/>
                </w:tcPr>
                <w:p w14:paraId="7BA7C8D4"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737" w:type="dxa"/>
                  <w:tcBorders>
                    <w:top w:val="nil"/>
                    <w:left w:val="nil"/>
                    <w:bottom w:val="nil"/>
                    <w:right w:val="nil"/>
                  </w:tcBorders>
                  <w:shd w:val="clear" w:color="auto" w:fill="auto"/>
                  <w:noWrap/>
                  <w:vAlign w:val="bottom"/>
                  <w:hideMark/>
                </w:tcPr>
                <w:p w14:paraId="6ED06B9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4CBB91E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52DA6C3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207582F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572F3964"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214FC11E" w14:textId="77777777" w:rsidTr="00571989">
              <w:trPr>
                <w:trHeight w:val="20"/>
              </w:trPr>
              <w:tc>
                <w:tcPr>
                  <w:tcW w:w="4252" w:type="dxa"/>
                  <w:tcBorders>
                    <w:top w:val="nil"/>
                    <w:left w:val="nil"/>
                    <w:bottom w:val="nil"/>
                    <w:right w:val="nil"/>
                  </w:tcBorders>
                  <w:shd w:val="clear" w:color="auto" w:fill="auto"/>
                  <w:noWrap/>
                  <w:vAlign w:val="bottom"/>
                  <w:hideMark/>
                </w:tcPr>
                <w:p w14:paraId="7041C997"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737" w:type="dxa"/>
                  <w:tcBorders>
                    <w:top w:val="nil"/>
                    <w:left w:val="nil"/>
                    <w:bottom w:val="nil"/>
                    <w:right w:val="nil"/>
                  </w:tcBorders>
                  <w:shd w:val="clear" w:color="auto" w:fill="auto"/>
                  <w:noWrap/>
                  <w:vAlign w:val="bottom"/>
                  <w:hideMark/>
                </w:tcPr>
                <w:p w14:paraId="26DF91C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9E7622B"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CADE94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66DB4AF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14:paraId="05D6ED06"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14:paraId="006D0B5A" w14:textId="77777777" w:rsidTr="00571989">
              <w:trPr>
                <w:trHeight w:val="20"/>
              </w:trPr>
              <w:tc>
                <w:tcPr>
                  <w:tcW w:w="4252" w:type="dxa"/>
                  <w:tcBorders>
                    <w:top w:val="single" w:sz="4" w:space="0" w:color="5B9BD5"/>
                    <w:left w:val="nil"/>
                    <w:bottom w:val="double" w:sz="6" w:space="0" w:color="5B9BD5"/>
                    <w:right w:val="nil"/>
                  </w:tcBorders>
                  <w:shd w:val="clear" w:color="auto" w:fill="auto"/>
                  <w:noWrap/>
                  <w:vAlign w:val="bottom"/>
                  <w:hideMark/>
                </w:tcPr>
                <w:p w14:paraId="0BB06FBF" w14:textId="77777777" w:rsidR="00BB0269" w:rsidRPr="00571989" w:rsidRDefault="00BB0269" w:rsidP="00BB0269">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737" w:type="dxa"/>
                  <w:tcBorders>
                    <w:top w:val="single" w:sz="4" w:space="0" w:color="5B9BD5"/>
                    <w:left w:val="nil"/>
                    <w:bottom w:val="double" w:sz="6" w:space="0" w:color="5B9BD5"/>
                    <w:right w:val="nil"/>
                  </w:tcBorders>
                  <w:shd w:val="clear" w:color="auto" w:fill="auto"/>
                  <w:noWrap/>
                  <w:vAlign w:val="bottom"/>
                  <w:hideMark/>
                </w:tcPr>
                <w:p w14:paraId="0ABBAFAF"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0,9</w:t>
                  </w:r>
                </w:p>
              </w:tc>
              <w:tc>
                <w:tcPr>
                  <w:tcW w:w="737" w:type="dxa"/>
                  <w:tcBorders>
                    <w:top w:val="single" w:sz="4" w:space="0" w:color="5B9BD5"/>
                    <w:left w:val="nil"/>
                    <w:bottom w:val="double" w:sz="6" w:space="0" w:color="5B9BD5"/>
                    <w:right w:val="nil"/>
                  </w:tcBorders>
                  <w:shd w:val="clear" w:color="auto" w:fill="auto"/>
                  <w:noWrap/>
                  <w:vAlign w:val="bottom"/>
                  <w:hideMark/>
                </w:tcPr>
                <w:p w14:paraId="5D4F7004"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737" w:type="dxa"/>
                  <w:tcBorders>
                    <w:top w:val="single" w:sz="4" w:space="0" w:color="5B9BD5"/>
                    <w:left w:val="nil"/>
                    <w:bottom w:val="double" w:sz="6" w:space="0" w:color="5B9BD5"/>
                    <w:right w:val="nil"/>
                  </w:tcBorders>
                  <w:shd w:val="clear" w:color="auto" w:fill="auto"/>
                  <w:noWrap/>
                  <w:vAlign w:val="bottom"/>
                  <w:hideMark/>
                </w:tcPr>
                <w:p w14:paraId="4B892012"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737" w:type="dxa"/>
                  <w:tcBorders>
                    <w:top w:val="single" w:sz="4" w:space="0" w:color="5B9BD5"/>
                    <w:left w:val="nil"/>
                    <w:bottom w:val="double" w:sz="6" w:space="0" w:color="5B9BD5"/>
                    <w:right w:val="nil"/>
                  </w:tcBorders>
                  <w:shd w:val="clear" w:color="auto" w:fill="auto"/>
                  <w:noWrap/>
                  <w:vAlign w:val="bottom"/>
                  <w:hideMark/>
                </w:tcPr>
                <w:p w14:paraId="66A02B7A"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737" w:type="dxa"/>
                  <w:tcBorders>
                    <w:top w:val="single" w:sz="4" w:space="0" w:color="5B9BD5"/>
                    <w:left w:val="nil"/>
                    <w:bottom w:val="double" w:sz="6" w:space="0" w:color="5B9BD5"/>
                    <w:right w:val="nil"/>
                  </w:tcBorders>
                  <w:shd w:val="clear" w:color="auto" w:fill="auto"/>
                  <w:noWrap/>
                  <w:vAlign w:val="bottom"/>
                  <w:hideMark/>
                </w:tcPr>
                <w:p w14:paraId="29B0D877"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0,9</w:t>
                  </w:r>
                </w:p>
              </w:tc>
            </w:tr>
          </w:tbl>
          <w:p w14:paraId="72591F0F" w14:textId="77777777" w:rsidR="00BB0269" w:rsidRDefault="00BB0269" w:rsidP="00DA60BA">
            <w:pPr>
              <w:spacing w:after="0" w:line="240" w:lineRule="auto"/>
              <w:jc w:val="both"/>
              <w:rPr>
                <w:rFonts w:ascii="Times New Roman" w:eastAsia="Calibri" w:hAnsi="Times New Roman" w:cs="Times New Roman"/>
                <w:color w:val="000000"/>
                <w:sz w:val="21"/>
                <w:szCs w:val="21"/>
              </w:rPr>
            </w:pPr>
          </w:p>
          <w:p w14:paraId="60097876" w14:textId="77777777" w:rsidR="00BB0269" w:rsidRPr="00DA60BA" w:rsidRDefault="00BB0269" w:rsidP="00DA60BA">
            <w:pPr>
              <w:spacing w:after="0" w:line="240" w:lineRule="auto"/>
              <w:jc w:val="both"/>
              <w:rPr>
                <w:rFonts w:ascii="Times New Roman" w:eastAsia="Calibri" w:hAnsi="Times New Roman" w:cs="Times New Roman"/>
                <w:color w:val="000000"/>
                <w:sz w:val="21"/>
                <w:szCs w:val="21"/>
              </w:rPr>
            </w:pPr>
            <w:r w:rsidRPr="00BB0269">
              <w:rPr>
                <w:rFonts w:ascii="Times New Roman" w:eastAsia="Calibri" w:hAnsi="Times New Roman" w:cs="Times New Roman"/>
                <w:color w:val="000000"/>
                <w:sz w:val="21"/>
                <w:szCs w:val="21"/>
              </w:rPr>
              <w:t>Wydatki na realizację projektu WIIP finansowane z rezerwy celowej WIIP</w:t>
            </w:r>
          </w:p>
          <w:tbl>
            <w:tblPr>
              <w:tblW w:w="6748" w:type="dxa"/>
              <w:tblLayout w:type="fixed"/>
              <w:tblCellMar>
                <w:left w:w="70" w:type="dxa"/>
                <w:right w:w="70" w:type="dxa"/>
              </w:tblCellMar>
              <w:tblLook w:val="04A0" w:firstRow="1" w:lastRow="0" w:firstColumn="1" w:lastColumn="0" w:noHBand="0" w:noVBand="1"/>
            </w:tblPr>
            <w:tblGrid>
              <w:gridCol w:w="3628"/>
              <w:gridCol w:w="624"/>
              <w:gridCol w:w="624"/>
              <w:gridCol w:w="624"/>
              <w:gridCol w:w="624"/>
              <w:gridCol w:w="624"/>
            </w:tblGrid>
            <w:tr w:rsidR="009F515D" w:rsidRPr="000A3661" w14:paraId="651238B4" w14:textId="77777777" w:rsidTr="00571989">
              <w:trPr>
                <w:trHeight w:val="20"/>
              </w:trPr>
              <w:tc>
                <w:tcPr>
                  <w:tcW w:w="3628" w:type="dxa"/>
                  <w:tcBorders>
                    <w:top w:val="nil"/>
                    <w:left w:val="nil"/>
                    <w:bottom w:val="nil"/>
                    <w:right w:val="nil"/>
                  </w:tcBorders>
                  <w:shd w:val="clear" w:color="000000" w:fill="5B9BD5"/>
                  <w:noWrap/>
                  <w:vAlign w:val="bottom"/>
                  <w:hideMark/>
                </w:tcPr>
                <w:p w14:paraId="665F2F8A" w14:textId="77777777"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624" w:type="dxa"/>
                  <w:tcBorders>
                    <w:top w:val="nil"/>
                    <w:left w:val="nil"/>
                    <w:bottom w:val="nil"/>
                    <w:right w:val="nil"/>
                  </w:tcBorders>
                  <w:shd w:val="clear" w:color="000000" w:fill="5B9BD5"/>
                  <w:noWrap/>
                  <w:vAlign w:val="bottom"/>
                  <w:hideMark/>
                </w:tcPr>
                <w:p w14:paraId="6CAFB7D1"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624" w:type="dxa"/>
                  <w:tcBorders>
                    <w:top w:val="nil"/>
                    <w:left w:val="nil"/>
                    <w:bottom w:val="nil"/>
                    <w:right w:val="nil"/>
                  </w:tcBorders>
                  <w:shd w:val="clear" w:color="000000" w:fill="5B9BD5"/>
                  <w:noWrap/>
                  <w:vAlign w:val="bottom"/>
                  <w:hideMark/>
                </w:tcPr>
                <w:p w14:paraId="2C2BC257"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624" w:type="dxa"/>
                  <w:tcBorders>
                    <w:top w:val="nil"/>
                    <w:left w:val="nil"/>
                    <w:bottom w:val="nil"/>
                    <w:right w:val="nil"/>
                  </w:tcBorders>
                  <w:shd w:val="clear" w:color="000000" w:fill="5B9BD5"/>
                  <w:noWrap/>
                  <w:vAlign w:val="bottom"/>
                  <w:hideMark/>
                </w:tcPr>
                <w:p w14:paraId="25CB4F5C"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624" w:type="dxa"/>
                  <w:tcBorders>
                    <w:top w:val="nil"/>
                    <w:left w:val="nil"/>
                    <w:bottom w:val="nil"/>
                    <w:right w:val="nil"/>
                  </w:tcBorders>
                  <w:shd w:val="clear" w:color="000000" w:fill="5B9BD5"/>
                  <w:noWrap/>
                  <w:vAlign w:val="bottom"/>
                  <w:hideMark/>
                </w:tcPr>
                <w:p w14:paraId="03B04867" w14:textId="77777777"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624" w:type="dxa"/>
                  <w:tcBorders>
                    <w:top w:val="nil"/>
                    <w:left w:val="nil"/>
                    <w:bottom w:val="nil"/>
                    <w:right w:val="nil"/>
                  </w:tcBorders>
                  <w:shd w:val="clear" w:color="000000" w:fill="5B9BD5"/>
                  <w:noWrap/>
                  <w:vAlign w:val="bottom"/>
                  <w:hideMark/>
                </w:tcPr>
                <w:p w14:paraId="1CD651F0" w14:textId="77777777"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9F515D" w:rsidRPr="000A3661" w14:paraId="1A06C7A5" w14:textId="77777777" w:rsidTr="000A3661">
              <w:trPr>
                <w:trHeight w:val="20"/>
              </w:trPr>
              <w:tc>
                <w:tcPr>
                  <w:tcW w:w="3628" w:type="dxa"/>
                  <w:tcBorders>
                    <w:top w:val="nil"/>
                    <w:left w:val="nil"/>
                    <w:bottom w:val="nil"/>
                    <w:right w:val="nil"/>
                  </w:tcBorders>
                  <w:shd w:val="clear" w:color="auto" w:fill="auto"/>
                  <w:noWrap/>
                  <w:vAlign w:val="bottom"/>
                  <w:hideMark/>
                </w:tcPr>
                <w:p w14:paraId="07164D67"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624" w:type="dxa"/>
                  <w:tcBorders>
                    <w:top w:val="nil"/>
                    <w:left w:val="nil"/>
                    <w:bottom w:val="nil"/>
                    <w:right w:val="nil"/>
                  </w:tcBorders>
                  <w:shd w:val="clear" w:color="auto" w:fill="auto"/>
                  <w:noWrap/>
                  <w:vAlign w:val="bottom"/>
                  <w:hideMark/>
                </w:tcPr>
                <w:p w14:paraId="7DA40D21"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1998AB5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10F2084B"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12,5</w:t>
                  </w:r>
                </w:p>
              </w:tc>
              <w:tc>
                <w:tcPr>
                  <w:tcW w:w="624" w:type="dxa"/>
                  <w:tcBorders>
                    <w:top w:val="nil"/>
                    <w:left w:val="nil"/>
                    <w:bottom w:val="nil"/>
                    <w:right w:val="nil"/>
                  </w:tcBorders>
                  <w:shd w:val="clear" w:color="auto" w:fill="auto"/>
                  <w:noWrap/>
                  <w:vAlign w:val="bottom"/>
                  <w:hideMark/>
                </w:tcPr>
                <w:p w14:paraId="3034D700"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4,4</w:t>
                  </w:r>
                </w:p>
              </w:tc>
              <w:tc>
                <w:tcPr>
                  <w:tcW w:w="624" w:type="dxa"/>
                  <w:tcBorders>
                    <w:top w:val="nil"/>
                    <w:left w:val="nil"/>
                    <w:bottom w:val="nil"/>
                    <w:right w:val="nil"/>
                  </w:tcBorders>
                  <w:shd w:val="clear" w:color="auto" w:fill="auto"/>
                  <w:noWrap/>
                  <w:vAlign w:val="bottom"/>
                  <w:hideMark/>
                </w:tcPr>
                <w:p w14:paraId="7628E5DA"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16,9</w:t>
                  </w:r>
                </w:p>
              </w:tc>
            </w:tr>
            <w:tr w:rsidR="009F515D" w:rsidRPr="000A3661" w14:paraId="5349DA7A" w14:textId="77777777" w:rsidTr="000A3661">
              <w:trPr>
                <w:trHeight w:val="20"/>
              </w:trPr>
              <w:tc>
                <w:tcPr>
                  <w:tcW w:w="3628" w:type="dxa"/>
                  <w:tcBorders>
                    <w:top w:val="nil"/>
                    <w:left w:val="nil"/>
                    <w:bottom w:val="nil"/>
                    <w:right w:val="nil"/>
                  </w:tcBorders>
                  <w:shd w:val="clear" w:color="auto" w:fill="auto"/>
                  <w:noWrap/>
                  <w:vAlign w:val="bottom"/>
                  <w:hideMark/>
                </w:tcPr>
                <w:p w14:paraId="1125CAB4"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624" w:type="dxa"/>
                  <w:tcBorders>
                    <w:top w:val="nil"/>
                    <w:left w:val="nil"/>
                    <w:bottom w:val="nil"/>
                    <w:right w:val="nil"/>
                  </w:tcBorders>
                  <w:shd w:val="clear" w:color="auto" w:fill="auto"/>
                  <w:noWrap/>
                  <w:vAlign w:val="bottom"/>
                  <w:hideMark/>
                </w:tcPr>
                <w:p w14:paraId="71DE12F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6F8B4534"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4CEADF3D"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1,6</w:t>
                  </w:r>
                </w:p>
              </w:tc>
              <w:tc>
                <w:tcPr>
                  <w:tcW w:w="624" w:type="dxa"/>
                  <w:tcBorders>
                    <w:top w:val="nil"/>
                    <w:left w:val="nil"/>
                    <w:bottom w:val="nil"/>
                    <w:right w:val="nil"/>
                  </w:tcBorders>
                  <w:shd w:val="clear" w:color="auto" w:fill="auto"/>
                  <w:noWrap/>
                  <w:vAlign w:val="bottom"/>
                  <w:hideMark/>
                </w:tcPr>
                <w:p w14:paraId="6983110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1,6</w:t>
                  </w:r>
                </w:p>
              </w:tc>
              <w:tc>
                <w:tcPr>
                  <w:tcW w:w="624" w:type="dxa"/>
                  <w:tcBorders>
                    <w:top w:val="nil"/>
                    <w:left w:val="nil"/>
                    <w:bottom w:val="nil"/>
                    <w:right w:val="nil"/>
                  </w:tcBorders>
                  <w:shd w:val="clear" w:color="auto" w:fill="auto"/>
                  <w:noWrap/>
                  <w:vAlign w:val="bottom"/>
                  <w:hideMark/>
                </w:tcPr>
                <w:p w14:paraId="643152FF"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3,2</w:t>
                  </w:r>
                </w:p>
              </w:tc>
            </w:tr>
            <w:tr w:rsidR="009F515D" w:rsidRPr="000A3661" w14:paraId="2EB1294E" w14:textId="77777777" w:rsidTr="000A3661">
              <w:trPr>
                <w:trHeight w:val="20"/>
              </w:trPr>
              <w:tc>
                <w:tcPr>
                  <w:tcW w:w="3628" w:type="dxa"/>
                  <w:tcBorders>
                    <w:top w:val="nil"/>
                    <w:left w:val="nil"/>
                    <w:bottom w:val="nil"/>
                    <w:right w:val="nil"/>
                  </w:tcBorders>
                  <w:shd w:val="clear" w:color="auto" w:fill="auto"/>
                  <w:noWrap/>
                  <w:vAlign w:val="bottom"/>
                  <w:hideMark/>
                </w:tcPr>
                <w:p w14:paraId="534F4BFE"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624" w:type="dxa"/>
                  <w:tcBorders>
                    <w:top w:val="nil"/>
                    <w:left w:val="nil"/>
                    <w:bottom w:val="nil"/>
                    <w:right w:val="nil"/>
                  </w:tcBorders>
                  <w:shd w:val="clear" w:color="auto" w:fill="auto"/>
                  <w:noWrap/>
                  <w:vAlign w:val="bottom"/>
                  <w:hideMark/>
                </w:tcPr>
                <w:p w14:paraId="242328AA"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73DBCFFB"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4,3</w:t>
                  </w:r>
                </w:p>
              </w:tc>
              <w:tc>
                <w:tcPr>
                  <w:tcW w:w="624" w:type="dxa"/>
                  <w:tcBorders>
                    <w:top w:val="nil"/>
                    <w:left w:val="nil"/>
                    <w:bottom w:val="nil"/>
                    <w:right w:val="nil"/>
                  </w:tcBorders>
                  <w:shd w:val="clear" w:color="auto" w:fill="auto"/>
                  <w:noWrap/>
                  <w:vAlign w:val="bottom"/>
                  <w:hideMark/>
                </w:tcPr>
                <w:p w14:paraId="52C6C24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1,5</w:t>
                  </w:r>
                </w:p>
              </w:tc>
              <w:tc>
                <w:tcPr>
                  <w:tcW w:w="624" w:type="dxa"/>
                  <w:tcBorders>
                    <w:top w:val="nil"/>
                    <w:left w:val="nil"/>
                    <w:bottom w:val="nil"/>
                    <w:right w:val="nil"/>
                  </w:tcBorders>
                  <w:shd w:val="clear" w:color="auto" w:fill="auto"/>
                  <w:noWrap/>
                  <w:vAlign w:val="bottom"/>
                  <w:hideMark/>
                </w:tcPr>
                <w:p w14:paraId="2E18D007"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1,3</w:t>
                  </w:r>
                </w:p>
              </w:tc>
              <w:tc>
                <w:tcPr>
                  <w:tcW w:w="624" w:type="dxa"/>
                  <w:tcBorders>
                    <w:top w:val="nil"/>
                    <w:left w:val="nil"/>
                    <w:bottom w:val="nil"/>
                    <w:right w:val="nil"/>
                  </w:tcBorders>
                  <w:shd w:val="clear" w:color="auto" w:fill="auto"/>
                  <w:noWrap/>
                  <w:vAlign w:val="bottom"/>
                  <w:hideMark/>
                </w:tcPr>
                <w:p w14:paraId="08F15E09"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7,1</w:t>
                  </w:r>
                </w:p>
              </w:tc>
            </w:tr>
            <w:tr w:rsidR="009F515D" w:rsidRPr="000A3661" w14:paraId="61EB2BC3" w14:textId="77777777" w:rsidTr="000A3661">
              <w:trPr>
                <w:trHeight w:val="20"/>
              </w:trPr>
              <w:tc>
                <w:tcPr>
                  <w:tcW w:w="3628" w:type="dxa"/>
                  <w:tcBorders>
                    <w:top w:val="nil"/>
                    <w:left w:val="nil"/>
                    <w:bottom w:val="nil"/>
                    <w:right w:val="nil"/>
                  </w:tcBorders>
                  <w:shd w:val="clear" w:color="auto" w:fill="auto"/>
                  <w:noWrap/>
                  <w:vAlign w:val="bottom"/>
                  <w:hideMark/>
                </w:tcPr>
                <w:p w14:paraId="5D8A6B5A"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624" w:type="dxa"/>
                  <w:tcBorders>
                    <w:top w:val="nil"/>
                    <w:left w:val="nil"/>
                    <w:bottom w:val="nil"/>
                    <w:right w:val="nil"/>
                  </w:tcBorders>
                  <w:shd w:val="clear" w:color="auto" w:fill="auto"/>
                  <w:noWrap/>
                  <w:vAlign w:val="bottom"/>
                  <w:hideMark/>
                </w:tcPr>
                <w:p w14:paraId="2245499E"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5725F7C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669F9523"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1329459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31609970"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14:paraId="52416304" w14:textId="77777777" w:rsidTr="000A3661">
              <w:trPr>
                <w:trHeight w:val="20"/>
              </w:trPr>
              <w:tc>
                <w:tcPr>
                  <w:tcW w:w="3628" w:type="dxa"/>
                  <w:tcBorders>
                    <w:top w:val="nil"/>
                    <w:left w:val="nil"/>
                    <w:bottom w:val="nil"/>
                    <w:right w:val="nil"/>
                  </w:tcBorders>
                  <w:shd w:val="clear" w:color="auto" w:fill="auto"/>
                  <w:noWrap/>
                  <w:vAlign w:val="bottom"/>
                  <w:hideMark/>
                </w:tcPr>
                <w:p w14:paraId="15FABC06"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lastRenderedPageBreak/>
                    <w:t>Wydatki na pokrycie kosztów pośrednich</w:t>
                  </w:r>
                </w:p>
              </w:tc>
              <w:tc>
                <w:tcPr>
                  <w:tcW w:w="624" w:type="dxa"/>
                  <w:tcBorders>
                    <w:top w:val="nil"/>
                    <w:left w:val="nil"/>
                    <w:bottom w:val="nil"/>
                    <w:right w:val="nil"/>
                  </w:tcBorders>
                  <w:shd w:val="clear" w:color="auto" w:fill="auto"/>
                  <w:noWrap/>
                  <w:vAlign w:val="bottom"/>
                  <w:hideMark/>
                </w:tcPr>
                <w:p w14:paraId="4F0BE009"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159E996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006FDFF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5EF078A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4A524C2E"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14:paraId="41A97248" w14:textId="77777777" w:rsidTr="000A3661">
              <w:trPr>
                <w:trHeight w:val="20"/>
              </w:trPr>
              <w:tc>
                <w:tcPr>
                  <w:tcW w:w="3628" w:type="dxa"/>
                  <w:tcBorders>
                    <w:top w:val="nil"/>
                    <w:left w:val="nil"/>
                    <w:bottom w:val="nil"/>
                    <w:right w:val="nil"/>
                  </w:tcBorders>
                  <w:shd w:val="clear" w:color="auto" w:fill="auto"/>
                  <w:noWrap/>
                  <w:vAlign w:val="bottom"/>
                  <w:hideMark/>
                </w:tcPr>
                <w:p w14:paraId="31807648"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624" w:type="dxa"/>
                  <w:tcBorders>
                    <w:top w:val="nil"/>
                    <w:left w:val="nil"/>
                    <w:bottom w:val="nil"/>
                    <w:right w:val="nil"/>
                  </w:tcBorders>
                  <w:shd w:val="clear" w:color="auto" w:fill="auto"/>
                  <w:noWrap/>
                  <w:vAlign w:val="bottom"/>
                  <w:hideMark/>
                </w:tcPr>
                <w:p w14:paraId="28467C3A"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33188F4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503D078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5055DDF8"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09314179"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14:paraId="5DCDE18E" w14:textId="77777777" w:rsidTr="000A3661">
              <w:trPr>
                <w:trHeight w:val="20"/>
              </w:trPr>
              <w:tc>
                <w:tcPr>
                  <w:tcW w:w="3628" w:type="dxa"/>
                  <w:tcBorders>
                    <w:top w:val="nil"/>
                    <w:left w:val="nil"/>
                    <w:bottom w:val="nil"/>
                    <w:right w:val="nil"/>
                  </w:tcBorders>
                  <w:shd w:val="clear" w:color="auto" w:fill="auto"/>
                  <w:noWrap/>
                  <w:vAlign w:val="bottom"/>
                  <w:hideMark/>
                </w:tcPr>
                <w:p w14:paraId="1C921E42"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624" w:type="dxa"/>
                  <w:tcBorders>
                    <w:top w:val="nil"/>
                    <w:left w:val="nil"/>
                    <w:bottom w:val="nil"/>
                    <w:right w:val="nil"/>
                  </w:tcBorders>
                  <w:shd w:val="clear" w:color="auto" w:fill="auto"/>
                  <w:noWrap/>
                  <w:vAlign w:val="bottom"/>
                  <w:hideMark/>
                </w:tcPr>
                <w:p w14:paraId="2C9F853F"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7EC78F5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48D3B595"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7CE9E406"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33DDC4A6"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14:paraId="5588A65C" w14:textId="77777777" w:rsidTr="000A3661">
              <w:trPr>
                <w:trHeight w:val="20"/>
              </w:trPr>
              <w:tc>
                <w:tcPr>
                  <w:tcW w:w="3628" w:type="dxa"/>
                  <w:tcBorders>
                    <w:top w:val="nil"/>
                    <w:left w:val="nil"/>
                    <w:bottom w:val="nil"/>
                    <w:right w:val="nil"/>
                  </w:tcBorders>
                  <w:shd w:val="clear" w:color="auto" w:fill="auto"/>
                  <w:noWrap/>
                  <w:vAlign w:val="bottom"/>
                  <w:hideMark/>
                </w:tcPr>
                <w:p w14:paraId="3E52E8D7" w14:textId="77777777"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624" w:type="dxa"/>
                  <w:tcBorders>
                    <w:top w:val="nil"/>
                    <w:left w:val="nil"/>
                    <w:bottom w:val="nil"/>
                    <w:right w:val="nil"/>
                  </w:tcBorders>
                  <w:shd w:val="clear" w:color="auto" w:fill="auto"/>
                  <w:noWrap/>
                  <w:vAlign w:val="bottom"/>
                  <w:hideMark/>
                </w:tcPr>
                <w:p w14:paraId="0DBB5B4C"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67AA2842"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05D747EB"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2EEEB0FA" w14:textId="77777777"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14:paraId="16083FEA"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14:paraId="27B88F41" w14:textId="77777777" w:rsidTr="000A3661">
              <w:trPr>
                <w:trHeight w:val="20"/>
              </w:trPr>
              <w:tc>
                <w:tcPr>
                  <w:tcW w:w="3628" w:type="dxa"/>
                  <w:tcBorders>
                    <w:top w:val="single" w:sz="4" w:space="0" w:color="5B9BD5"/>
                    <w:left w:val="nil"/>
                    <w:bottom w:val="double" w:sz="6" w:space="0" w:color="5B9BD5"/>
                    <w:right w:val="nil"/>
                  </w:tcBorders>
                  <w:shd w:val="clear" w:color="auto" w:fill="auto"/>
                  <w:noWrap/>
                  <w:vAlign w:val="bottom"/>
                  <w:hideMark/>
                </w:tcPr>
                <w:p w14:paraId="7662F3A8" w14:textId="77777777" w:rsidR="00BB0269" w:rsidRPr="00571989" w:rsidRDefault="00BB0269" w:rsidP="00BB0269">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624" w:type="dxa"/>
                  <w:tcBorders>
                    <w:top w:val="single" w:sz="4" w:space="0" w:color="5B9BD5"/>
                    <w:left w:val="nil"/>
                    <w:bottom w:val="double" w:sz="6" w:space="0" w:color="5B9BD5"/>
                    <w:right w:val="nil"/>
                  </w:tcBorders>
                  <w:shd w:val="clear" w:color="auto" w:fill="auto"/>
                  <w:noWrap/>
                  <w:vAlign w:val="bottom"/>
                  <w:hideMark/>
                </w:tcPr>
                <w:p w14:paraId="4D2A64DF"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624" w:type="dxa"/>
                  <w:tcBorders>
                    <w:top w:val="single" w:sz="4" w:space="0" w:color="5B9BD5"/>
                    <w:left w:val="nil"/>
                    <w:bottom w:val="double" w:sz="6" w:space="0" w:color="5B9BD5"/>
                    <w:right w:val="nil"/>
                  </w:tcBorders>
                  <w:shd w:val="clear" w:color="auto" w:fill="auto"/>
                  <w:noWrap/>
                  <w:vAlign w:val="bottom"/>
                  <w:hideMark/>
                </w:tcPr>
                <w:p w14:paraId="6E6CAE21"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4,3</w:t>
                  </w:r>
                </w:p>
              </w:tc>
              <w:tc>
                <w:tcPr>
                  <w:tcW w:w="624" w:type="dxa"/>
                  <w:tcBorders>
                    <w:top w:val="single" w:sz="4" w:space="0" w:color="5B9BD5"/>
                    <w:left w:val="nil"/>
                    <w:bottom w:val="double" w:sz="6" w:space="0" w:color="5B9BD5"/>
                    <w:right w:val="nil"/>
                  </w:tcBorders>
                  <w:shd w:val="clear" w:color="auto" w:fill="auto"/>
                  <w:noWrap/>
                  <w:vAlign w:val="bottom"/>
                  <w:hideMark/>
                </w:tcPr>
                <w:p w14:paraId="5A611023"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15,6</w:t>
                  </w:r>
                </w:p>
              </w:tc>
              <w:tc>
                <w:tcPr>
                  <w:tcW w:w="624" w:type="dxa"/>
                  <w:tcBorders>
                    <w:top w:val="single" w:sz="4" w:space="0" w:color="5B9BD5"/>
                    <w:left w:val="nil"/>
                    <w:bottom w:val="double" w:sz="6" w:space="0" w:color="5B9BD5"/>
                    <w:right w:val="nil"/>
                  </w:tcBorders>
                  <w:shd w:val="clear" w:color="auto" w:fill="auto"/>
                  <w:noWrap/>
                  <w:vAlign w:val="bottom"/>
                  <w:hideMark/>
                </w:tcPr>
                <w:p w14:paraId="58B4FB23"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7,3</w:t>
                  </w:r>
                </w:p>
              </w:tc>
              <w:tc>
                <w:tcPr>
                  <w:tcW w:w="624" w:type="dxa"/>
                  <w:tcBorders>
                    <w:top w:val="single" w:sz="4" w:space="0" w:color="5B9BD5"/>
                    <w:left w:val="nil"/>
                    <w:bottom w:val="double" w:sz="6" w:space="0" w:color="5B9BD5"/>
                    <w:right w:val="nil"/>
                  </w:tcBorders>
                  <w:shd w:val="clear" w:color="auto" w:fill="auto"/>
                  <w:noWrap/>
                  <w:vAlign w:val="bottom"/>
                  <w:hideMark/>
                </w:tcPr>
                <w:p w14:paraId="32134130" w14:textId="77777777"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27,2</w:t>
                  </w:r>
                </w:p>
              </w:tc>
            </w:tr>
          </w:tbl>
          <w:p w14:paraId="6E5C68A8" w14:textId="77777777" w:rsidR="00DA60BA" w:rsidRDefault="00DA60BA" w:rsidP="00DA60BA">
            <w:pPr>
              <w:spacing w:after="0" w:line="240" w:lineRule="auto"/>
              <w:jc w:val="both"/>
              <w:rPr>
                <w:rFonts w:ascii="Times New Roman" w:eastAsia="Calibri" w:hAnsi="Times New Roman" w:cs="Times New Roman"/>
                <w:color w:val="000000"/>
                <w:sz w:val="21"/>
                <w:szCs w:val="21"/>
              </w:rPr>
            </w:pPr>
          </w:p>
          <w:p w14:paraId="6A27F023"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Poniżej przedstawiono charakterystykę poszczególnych grup wydatków w fazie wdrażania projektu (lata 2019-2021).</w:t>
            </w:r>
          </w:p>
          <w:p w14:paraId="1934595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0854244B" w14:textId="77777777" w:rsidR="00DA60BA" w:rsidRPr="00DA60BA" w:rsidRDefault="009F515D" w:rsidP="00DA60BA">
            <w:pPr>
              <w:spacing w:after="0" w:line="240" w:lineRule="auto"/>
              <w:jc w:val="both"/>
              <w:rPr>
                <w:rFonts w:ascii="Times New Roman" w:eastAsia="Calibri" w:hAnsi="Times New Roman" w:cs="Times New Roman"/>
                <w:b/>
                <w:color w:val="000000"/>
                <w:sz w:val="21"/>
                <w:szCs w:val="21"/>
              </w:rPr>
            </w:pPr>
            <w:r w:rsidRPr="009F515D">
              <w:rPr>
                <w:rFonts w:ascii="Times New Roman" w:eastAsia="Calibri" w:hAnsi="Times New Roman" w:cs="Times New Roman"/>
                <w:b/>
                <w:color w:val="000000"/>
                <w:sz w:val="21"/>
                <w:szCs w:val="21"/>
              </w:rPr>
              <w:t>Sprzęt informatyczny</w:t>
            </w:r>
          </w:p>
          <w:p w14:paraId="1F0101E0" w14:textId="77777777" w:rsidR="009B480C"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Wydatki na infrastrukturę obejmują dostawy wyposażenia technicznego Rządowego Klastra Bezpieczeństwa (urządzenia sieciowe, serwery)</w:t>
            </w:r>
            <w:r w:rsidR="00887CBC">
              <w:rPr>
                <w:rFonts w:ascii="Times New Roman" w:eastAsia="Calibri" w:hAnsi="Times New Roman" w:cs="Times New Roman"/>
                <w:color w:val="000000"/>
                <w:sz w:val="21"/>
                <w:szCs w:val="21"/>
              </w:rPr>
              <w:t xml:space="preserve"> </w:t>
            </w:r>
            <w:r w:rsidRPr="00DA60BA">
              <w:rPr>
                <w:rFonts w:ascii="Times New Roman" w:eastAsia="Calibri" w:hAnsi="Times New Roman" w:cs="Times New Roman"/>
                <w:color w:val="000000"/>
                <w:sz w:val="21"/>
                <w:szCs w:val="21"/>
              </w:rPr>
              <w:t>oraz wyposażenie centrów obliczeniowych, niezbędne w procesie uruchomienia nowych usług infrastrukturalnych. W latach 2020-2021 przewidziano również wydatki na rozwój wdrażanych rozwiązań oraz utrzymania technicznego</w:t>
            </w:r>
            <w:r w:rsidR="00887CBC">
              <w:rPr>
                <w:rFonts w:ascii="Times New Roman" w:eastAsia="Calibri" w:hAnsi="Times New Roman" w:cs="Times New Roman"/>
                <w:color w:val="000000"/>
                <w:sz w:val="21"/>
                <w:szCs w:val="21"/>
              </w:rPr>
              <w:t>, finansowane z nowoutworzonej rezerwy celowej.</w:t>
            </w:r>
          </w:p>
          <w:p w14:paraId="04B1C3C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32B11F49"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Oprogramowanie</w:t>
            </w:r>
          </w:p>
          <w:p w14:paraId="5009F38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z w:val="21"/>
              </w:rPr>
              <w:t>Wydatki na oprogramowanie wynikają z przyjętych założeń architektonicznych i są ściśle powiązane dostawami infrastruktury. Ceny jednostkowe zostały wyznaczone na podstawie rozpoznania rynku.</w:t>
            </w:r>
          </w:p>
          <w:p w14:paraId="28CFA0B6" w14:textId="77777777" w:rsidR="00DA60BA" w:rsidRDefault="00DA60BA" w:rsidP="00DA60BA">
            <w:pPr>
              <w:spacing w:after="0" w:line="240" w:lineRule="auto"/>
              <w:jc w:val="both"/>
              <w:rPr>
                <w:rFonts w:ascii="Times New Roman" w:eastAsia="Calibri" w:hAnsi="Times New Roman" w:cs="Times New Roman"/>
                <w:color w:val="000000"/>
                <w:sz w:val="21"/>
                <w:szCs w:val="21"/>
              </w:rPr>
            </w:pPr>
          </w:p>
          <w:p w14:paraId="405541D4"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Wynagrodzenia osobowe</w:t>
            </w:r>
          </w:p>
          <w:p w14:paraId="21CB4872" w14:textId="77777777"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Plan wynagrodzeń osobowych sporządzono w oparciu o niezbędne role projektowe oraz aktualne stawki wynagrodzeń obowiązujące w poszczególnych jednostkach zaangażowanych w realizację zadań związanych z inicjatywą WIIP. Plan zatrudnienia przedstawiają poniższa tabela (dane prezentowane jako FTE – ekwiwalent pełnego czasu pracy).</w:t>
            </w:r>
          </w:p>
          <w:p w14:paraId="0EA6FC8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7903" w:type="dxa"/>
              <w:tblLayout w:type="fixed"/>
              <w:tblCellMar>
                <w:left w:w="70" w:type="dxa"/>
                <w:right w:w="70" w:type="dxa"/>
              </w:tblCellMar>
              <w:tblLook w:val="04A0" w:firstRow="1" w:lastRow="0" w:firstColumn="1" w:lastColumn="0" w:noHBand="0" w:noVBand="1"/>
            </w:tblPr>
            <w:tblGrid>
              <w:gridCol w:w="2163"/>
              <w:gridCol w:w="521"/>
              <w:gridCol w:w="521"/>
              <w:gridCol w:w="522"/>
              <w:gridCol w:w="522"/>
              <w:gridCol w:w="522"/>
              <w:gridCol w:w="522"/>
              <w:gridCol w:w="522"/>
              <w:gridCol w:w="522"/>
              <w:gridCol w:w="522"/>
              <w:gridCol w:w="522"/>
              <w:gridCol w:w="522"/>
            </w:tblGrid>
            <w:tr w:rsidR="00DA60BA" w:rsidRPr="00DA60BA" w14:paraId="6AFF5E2F" w14:textId="77777777" w:rsidTr="00E559DE">
              <w:trPr>
                <w:trHeight w:val="26"/>
              </w:trPr>
              <w:tc>
                <w:tcPr>
                  <w:tcW w:w="1369" w:type="pct"/>
                  <w:tcBorders>
                    <w:top w:val="nil"/>
                    <w:left w:val="nil"/>
                    <w:bottom w:val="nil"/>
                    <w:right w:val="nil"/>
                  </w:tcBorders>
                  <w:shd w:val="clear" w:color="000000" w:fill="5B9BD5"/>
                  <w:noWrap/>
                  <w:vAlign w:val="bottom"/>
                  <w:hideMark/>
                </w:tcPr>
                <w:p w14:paraId="3731B875" w14:textId="77777777" w:rsidR="00DA60BA" w:rsidRPr="00DA60BA" w:rsidRDefault="00DA60BA" w:rsidP="00DA60BA">
                  <w:pPr>
                    <w:spacing w:after="0" w:line="240" w:lineRule="auto"/>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Jednostka</w:t>
                  </w:r>
                </w:p>
              </w:tc>
              <w:tc>
                <w:tcPr>
                  <w:tcW w:w="330" w:type="pct"/>
                  <w:tcBorders>
                    <w:top w:val="nil"/>
                    <w:left w:val="nil"/>
                    <w:bottom w:val="nil"/>
                    <w:right w:val="nil"/>
                  </w:tcBorders>
                  <w:shd w:val="clear" w:color="000000" w:fill="5B9BD5"/>
                  <w:noWrap/>
                  <w:vAlign w:val="bottom"/>
                  <w:hideMark/>
                </w:tcPr>
                <w:p w14:paraId="097E20F2"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2019</w:t>
                  </w:r>
                </w:p>
              </w:tc>
              <w:tc>
                <w:tcPr>
                  <w:tcW w:w="330" w:type="pct"/>
                  <w:tcBorders>
                    <w:top w:val="nil"/>
                    <w:left w:val="nil"/>
                    <w:bottom w:val="nil"/>
                    <w:right w:val="nil"/>
                  </w:tcBorders>
                  <w:shd w:val="clear" w:color="000000" w:fill="5B9BD5"/>
                  <w:noWrap/>
                  <w:vAlign w:val="bottom"/>
                  <w:hideMark/>
                </w:tcPr>
                <w:p w14:paraId="46C29F7B"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2020</w:t>
                  </w:r>
                </w:p>
              </w:tc>
              <w:tc>
                <w:tcPr>
                  <w:tcW w:w="330" w:type="pct"/>
                  <w:tcBorders>
                    <w:top w:val="nil"/>
                    <w:left w:val="nil"/>
                    <w:bottom w:val="nil"/>
                    <w:right w:val="nil"/>
                  </w:tcBorders>
                  <w:shd w:val="clear" w:color="000000" w:fill="5B9BD5"/>
                  <w:noWrap/>
                  <w:vAlign w:val="bottom"/>
                  <w:hideMark/>
                </w:tcPr>
                <w:p w14:paraId="336D1B09"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2021</w:t>
                  </w:r>
                </w:p>
              </w:tc>
              <w:tc>
                <w:tcPr>
                  <w:tcW w:w="330" w:type="pct"/>
                  <w:tcBorders>
                    <w:top w:val="nil"/>
                    <w:left w:val="nil"/>
                    <w:bottom w:val="nil"/>
                    <w:right w:val="nil"/>
                  </w:tcBorders>
                  <w:shd w:val="clear" w:color="000000" w:fill="5B9BD5"/>
                  <w:noWrap/>
                  <w:vAlign w:val="bottom"/>
                  <w:hideMark/>
                </w:tcPr>
                <w:p w14:paraId="7BB2EA94"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2022</w:t>
                  </w:r>
                </w:p>
              </w:tc>
              <w:tc>
                <w:tcPr>
                  <w:tcW w:w="330" w:type="pct"/>
                  <w:tcBorders>
                    <w:top w:val="nil"/>
                    <w:left w:val="nil"/>
                    <w:bottom w:val="nil"/>
                    <w:right w:val="nil"/>
                  </w:tcBorders>
                  <w:shd w:val="clear" w:color="000000" w:fill="5B9BD5"/>
                  <w:noWrap/>
                  <w:vAlign w:val="bottom"/>
                  <w:hideMark/>
                </w:tcPr>
                <w:p w14:paraId="19DE2674"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2023</w:t>
                  </w:r>
                </w:p>
              </w:tc>
              <w:tc>
                <w:tcPr>
                  <w:tcW w:w="330" w:type="pct"/>
                  <w:tcBorders>
                    <w:top w:val="nil"/>
                    <w:left w:val="nil"/>
                    <w:bottom w:val="nil"/>
                    <w:right w:val="nil"/>
                  </w:tcBorders>
                  <w:shd w:val="clear" w:color="000000" w:fill="5B9BD5"/>
                  <w:noWrap/>
                  <w:vAlign w:val="bottom"/>
                  <w:hideMark/>
                </w:tcPr>
                <w:p w14:paraId="7A75FF30"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2024</w:t>
                  </w:r>
                </w:p>
              </w:tc>
              <w:tc>
                <w:tcPr>
                  <w:tcW w:w="330" w:type="pct"/>
                  <w:tcBorders>
                    <w:top w:val="nil"/>
                    <w:left w:val="nil"/>
                    <w:bottom w:val="nil"/>
                    <w:right w:val="nil"/>
                  </w:tcBorders>
                  <w:shd w:val="clear" w:color="000000" w:fill="5B9BD5"/>
                  <w:noWrap/>
                  <w:vAlign w:val="bottom"/>
                  <w:hideMark/>
                </w:tcPr>
                <w:p w14:paraId="1BCBC67B"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2025</w:t>
                  </w:r>
                </w:p>
              </w:tc>
              <w:tc>
                <w:tcPr>
                  <w:tcW w:w="330" w:type="pct"/>
                  <w:tcBorders>
                    <w:top w:val="nil"/>
                    <w:left w:val="nil"/>
                    <w:bottom w:val="nil"/>
                    <w:right w:val="nil"/>
                  </w:tcBorders>
                  <w:shd w:val="clear" w:color="000000" w:fill="5B9BD5"/>
                  <w:noWrap/>
                  <w:vAlign w:val="bottom"/>
                  <w:hideMark/>
                </w:tcPr>
                <w:p w14:paraId="738A21D7"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2026</w:t>
                  </w:r>
                </w:p>
              </w:tc>
              <w:tc>
                <w:tcPr>
                  <w:tcW w:w="330" w:type="pct"/>
                  <w:tcBorders>
                    <w:top w:val="nil"/>
                    <w:left w:val="nil"/>
                    <w:bottom w:val="nil"/>
                    <w:right w:val="nil"/>
                  </w:tcBorders>
                  <w:shd w:val="clear" w:color="000000" w:fill="5B9BD5"/>
                  <w:noWrap/>
                  <w:vAlign w:val="bottom"/>
                  <w:hideMark/>
                </w:tcPr>
                <w:p w14:paraId="1541280C"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2027</w:t>
                  </w:r>
                </w:p>
              </w:tc>
              <w:tc>
                <w:tcPr>
                  <w:tcW w:w="330" w:type="pct"/>
                  <w:tcBorders>
                    <w:top w:val="nil"/>
                    <w:left w:val="nil"/>
                    <w:bottom w:val="nil"/>
                    <w:right w:val="nil"/>
                  </w:tcBorders>
                  <w:shd w:val="clear" w:color="000000" w:fill="5B9BD5"/>
                  <w:noWrap/>
                  <w:vAlign w:val="bottom"/>
                  <w:hideMark/>
                </w:tcPr>
                <w:p w14:paraId="7FAA2068"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2028</w:t>
                  </w:r>
                </w:p>
              </w:tc>
              <w:tc>
                <w:tcPr>
                  <w:tcW w:w="330" w:type="pct"/>
                  <w:tcBorders>
                    <w:top w:val="nil"/>
                    <w:left w:val="nil"/>
                    <w:bottom w:val="nil"/>
                    <w:right w:val="nil"/>
                  </w:tcBorders>
                  <w:shd w:val="clear" w:color="000000" w:fill="5B9BD5"/>
                </w:tcPr>
                <w:p w14:paraId="3CAA43FF"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2029</w:t>
                  </w:r>
                </w:p>
              </w:tc>
            </w:tr>
            <w:tr w:rsidR="00E559DE" w:rsidRPr="00DA60BA" w14:paraId="6BD0694E" w14:textId="77777777" w:rsidTr="00571989">
              <w:trPr>
                <w:trHeight w:val="26"/>
              </w:trPr>
              <w:tc>
                <w:tcPr>
                  <w:tcW w:w="1369" w:type="pct"/>
                  <w:tcBorders>
                    <w:top w:val="nil"/>
                    <w:left w:val="nil"/>
                    <w:bottom w:val="nil"/>
                    <w:right w:val="nil"/>
                  </w:tcBorders>
                  <w:shd w:val="clear" w:color="auto" w:fill="auto"/>
                  <w:noWrap/>
                  <w:vAlign w:val="bottom"/>
                  <w:hideMark/>
                </w:tcPr>
                <w:p w14:paraId="61CD1507" w14:textId="77777777" w:rsidR="00E559DE" w:rsidRPr="00DA60BA" w:rsidRDefault="00E559DE" w:rsidP="00E559DE">
                  <w:pPr>
                    <w:spacing w:after="0" w:line="240" w:lineRule="auto"/>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Ministerstwo Cyfryzacji</w:t>
                  </w:r>
                </w:p>
              </w:tc>
              <w:tc>
                <w:tcPr>
                  <w:tcW w:w="330" w:type="pct"/>
                  <w:tcBorders>
                    <w:top w:val="nil"/>
                    <w:left w:val="nil"/>
                    <w:bottom w:val="nil"/>
                    <w:right w:val="nil"/>
                  </w:tcBorders>
                  <w:shd w:val="clear" w:color="auto" w:fill="auto"/>
                  <w:noWrap/>
                  <w:hideMark/>
                </w:tcPr>
                <w:p w14:paraId="13AC9360"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14:paraId="5E9E7794"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14:paraId="005E6154"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14:paraId="3FC890F5"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14:paraId="0C6DDEC0"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14:paraId="6E072225"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14:paraId="22B5E0B3"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14:paraId="367A0539"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14:paraId="02273F84"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14:paraId="36BC5C55"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tcPr>
                <w:p w14:paraId="732EF741"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r>
            <w:tr w:rsidR="00E559DE" w:rsidRPr="00DA60BA" w14:paraId="36EEE1C6" w14:textId="77777777" w:rsidTr="00571989">
              <w:trPr>
                <w:trHeight w:val="26"/>
              </w:trPr>
              <w:tc>
                <w:tcPr>
                  <w:tcW w:w="1369" w:type="pct"/>
                  <w:tcBorders>
                    <w:top w:val="nil"/>
                    <w:left w:val="nil"/>
                    <w:bottom w:val="nil"/>
                    <w:right w:val="nil"/>
                  </w:tcBorders>
                  <w:shd w:val="clear" w:color="auto" w:fill="auto"/>
                  <w:noWrap/>
                  <w:vAlign w:val="bottom"/>
                  <w:hideMark/>
                </w:tcPr>
                <w:p w14:paraId="3564B65E" w14:textId="77777777" w:rsidR="00E559DE" w:rsidRPr="00DA60BA" w:rsidRDefault="00E559DE" w:rsidP="00E559DE">
                  <w:pPr>
                    <w:spacing w:after="0" w:line="240" w:lineRule="auto"/>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Naukowe i Akademickie Sieci Komputerowe PIB</w:t>
                  </w:r>
                </w:p>
              </w:tc>
              <w:tc>
                <w:tcPr>
                  <w:tcW w:w="330" w:type="pct"/>
                  <w:tcBorders>
                    <w:top w:val="nil"/>
                    <w:left w:val="nil"/>
                    <w:bottom w:val="nil"/>
                    <w:right w:val="nil"/>
                  </w:tcBorders>
                  <w:shd w:val="clear" w:color="auto" w:fill="auto"/>
                  <w:noWrap/>
                </w:tcPr>
                <w:p w14:paraId="73B516AD"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14:paraId="0533E596"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14:paraId="32FB4CFC"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14:paraId="6DC540CD" w14:textId="77777777"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14:paraId="4353EFD5"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14:paraId="0624A5DC"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14:paraId="46FB967A"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14:paraId="3CC8B0F2"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14:paraId="7A38F998"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14:paraId="76CC3992"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tcPr>
                <w:p w14:paraId="13C991E6" w14:textId="77777777"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r>
            <w:tr w:rsidR="00DA60BA" w:rsidRPr="00DA60BA" w14:paraId="385730C9" w14:textId="77777777" w:rsidTr="00571989">
              <w:trPr>
                <w:trHeight w:val="26"/>
              </w:trPr>
              <w:tc>
                <w:tcPr>
                  <w:tcW w:w="1369" w:type="pct"/>
                  <w:tcBorders>
                    <w:top w:val="single" w:sz="4" w:space="0" w:color="5B9BD5"/>
                    <w:left w:val="nil"/>
                    <w:bottom w:val="double" w:sz="6" w:space="0" w:color="5B9BD5"/>
                    <w:right w:val="nil"/>
                  </w:tcBorders>
                  <w:shd w:val="clear" w:color="auto" w:fill="auto"/>
                  <w:noWrap/>
                  <w:vAlign w:val="bottom"/>
                  <w:hideMark/>
                </w:tcPr>
                <w:p w14:paraId="05582BC5" w14:textId="77777777"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Razem</w:t>
                  </w:r>
                </w:p>
              </w:tc>
              <w:tc>
                <w:tcPr>
                  <w:tcW w:w="330" w:type="pct"/>
                  <w:tcBorders>
                    <w:top w:val="single" w:sz="4" w:space="0" w:color="5B9BD5"/>
                    <w:left w:val="nil"/>
                    <w:bottom w:val="double" w:sz="6" w:space="0" w:color="5B9BD5"/>
                    <w:right w:val="nil"/>
                  </w:tcBorders>
                  <w:shd w:val="clear" w:color="auto" w:fill="auto"/>
                  <w:noWrap/>
                  <w:vAlign w:val="center"/>
                </w:tcPr>
                <w:p w14:paraId="2293D8F2" w14:textId="77777777" w:rsidR="00DA60BA" w:rsidRPr="00DA60BA" w:rsidRDefault="00E559DE"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22</w:t>
                  </w:r>
                </w:p>
              </w:tc>
              <w:tc>
                <w:tcPr>
                  <w:tcW w:w="330" w:type="pct"/>
                  <w:tcBorders>
                    <w:top w:val="single" w:sz="4" w:space="0" w:color="5B9BD5"/>
                    <w:left w:val="nil"/>
                    <w:bottom w:val="double" w:sz="6" w:space="0" w:color="5B9BD5"/>
                    <w:right w:val="nil"/>
                  </w:tcBorders>
                  <w:shd w:val="clear" w:color="auto" w:fill="auto"/>
                  <w:noWrap/>
                  <w:vAlign w:val="center"/>
                </w:tcPr>
                <w:p w14:paraId="1CF66E1E" w14:textId="0D731CDC" w:rsidR="00DA60BA" w:rsidRPr="00DA60BA" w:rsidRDefault="000D46E2"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22</w:t>
                  </w:r>
                </w:p>
              </w:tc>
              <w:tc>
                <w:tcPr>
                  <w:tcW w:w="330" w:type="pct"/>
                  <w:tcBorders>
                    <w:top w:val="single" w:sz="4" w:space="0" w:color="5B9BD5"/>
                    <w:left w:val="nil"/>
                    <w:bottom w:val="double" w:sz="6" w:space="0" w:color="5B9BD5"/>
                    <w:right w:val="nil"/>
                  </w:tcBorders>
                  <w:shd w:val="clear" w:color="auto" w:fill="auto"/>
                  <w:noWrap/>
                  <w:vAlign w:val="center"/>
                </w:tcPr>
                <w:p w14:paraId="34EB4333" w14:textId="1426D35B" w:rsidR="00DA60BA" w:rsidRPr="00DA60BA" w:rsidRDefault="000D46E2"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22</w:t>
                  </w:r>
                </w:p>
              </w:tc>
              <w:tc>
                <w:tcPr>
                  <w:tcW w:w="330" w:type="pct"/>
                  <w:tcBorders>
                    <w:top w:val="single" w:sz="4" w:space="0" w:color="5B9BD5"/>
                    <w:left w:val="nil"/>
                    <w:bottom w:val="double" w:sz="6" w:space="0" w:color="5B9BD5"/>
                    <w:right w:val="nil"/>
                  </w:tcBorders>
                  <w:shd w:val="clear" w:color="auto" w:fill="auto"/>
                  <w:noWrap/>
                  <w:vAlign w:val="center"/>
                </w:tcPr>
                <w:p w14:paraId="407DCE40" w14:textId="3086FCB6" w:rsidR="00DA60BA" w:rsidRPr="00DA60BA" w:rsidRDefault="000D46E2"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22</w:t>
                  </w:r>
                </w:p>
              </w:tc>
              <w:tc>
                <w:tcPr>
                  <w:tcW w:w="330" w:type="pct"/>
                  <w:tcBorders>
                    <w:top w:val="single" w:sz="4" w:space="0" w:color="5B9BD5"/>
                    <w:left w:val="nil"/>
                    <w:bottom w:val="double" w:sz="6" w:space="0" w:color="5B9BD5"/>
                    <w:right w:val="nil"/>
                  </w:tcBorders>
                  <w:shd w:val="clear" w:color="auto" w:fill="auto"/>
                  <w:noWrap/>
                  <w:vAlign w:val="center"/>
                </w:tcPr>
                <w:p w14:paraId="355E351B" w14:textId="77777777"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14:paraId="7A282E10" w14:textId="77777777"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14:paraId="727C132C" w14:textId="77777777"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14:paraId="1CF86676" w14:textId="77777777"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14:paraId="007F90DE" w14:textId="77777777"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14:paraId="38E53984" w14:textId="77777777"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vAlign w:val="center"/>
                </w:tcPr>
                <w:p w14:paraId="4CDC3E84" w14:textId="77777777" w:rsidR="00DA60BA" w:rsidRPr="00DA60BA" w:rsidRDefault="00D73B53" w:rsidP="00571989">
                  <w:pPr>
                    <w:spacing w:after="0" w:line="240" w:lineRule="auto"/>
                    <w:jc w:val="center"/>
                    <w:rPr>
                      <w:rFonts w:ascii="Times New Roman" w:eastAsia="Calibri" w:hAnsi="Times New Roman" w:cs="Times New Roman"/>
                      <w:b/>
                      <w:color w:val="000000"/>
                      <w:sz w:val="18"/>
                    </w:rPr>
                  </w:pPr>
                  <w:r>
                    <w:rPr>
                      <w:rFonts w:ascii="Times New Roman" w:eastAsia="Calibri" w:hAnsi="Times New Roman" w:cs="Times New Roman"/>
                      <w:b/>
                      <w:color w:val="000000"/>
                      <w:sz w:val="18"/>
                    </w:rPr>
                    <w:t>5</w:t>
                  </w:r>
                </w:p>
              </w:tc>
            </w:tr>
          </w:tbl>
          <w:p w14:paraId="03F758E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431A4D2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630E32E5"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Szkolenia</w:t>
            </w:r>
          </w:p>
          <w:p w14:paraId="32C36CB5" w14:textId="77777777" w:rsid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Zaplanowano szkolenia personelu projektu w zakresie technologii stosowanych w centrach obliczeniowych oraz infrastrukturze bezpieczeństwa sieci i systemów. Rodzaj i zakres szkoleń wynikają ze specyfikacji przedstawionych przez NASK PIB, COI oraz zakresu ról projektowych i zadań niezbędnych do realizacji przewidzianych zadań. Nakłady są ściśle skorelowane z ilością etatów przedstawionych poprzednim punkcie.</w:t>
            </w:r>
          </w:p>
          <w:p w14:paraId="0E2E3CB7" w14:textId="77777777" w:rsidR="00D41937" w:rsidRPr="00DA60BA" w:rsidRDefault="00D41937" w:rsidP="00DA60BA">
            <w:pPr>
              <w:spacing w:after="0" w:line="276" w:lineRule="auto"/>
              <w:jc w:val="both"/>
              <w:rPr>
                <w:rFonts w:ascii="Times New Roman" w:eastAsia="Calibri" w:hAnsi="Times New Roman" w:cs="Times New Roman"/>
                <w:sz w:val="21"/>
              </w:rPr>
            </w:pPr>
          </w:p>
          <w:p w14:paraId="1EDBED9B"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Usługi zewnętrzne</w:t>
            </w:r>
          </w:p>
          <w:p w14:paraId="763724D4"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 zakres usług wewnętrznych zaplanowanych do zakupu weszły:</w:t>
            </w:r>
          </w:p>
          <w:p w14:paraId="3C8CCAD5" w14:textId="77777777" w:rsidR="00DA60BA" w:rsidRPr="00DA60BA" w:rsidRDefault="00DA60BA" w:rsidP="00011790">
            <w:pPr>
              <w:numPr>
                <w:ilvl w:val="0"/>
                <w:numId w:val="1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doradztwo prawne,</w:t>
            </w:r>
          </w:p>
          <w:p w14:paraId="004E23ED" w14:textId="77777777" w:rsidR="00DA60BA" w:rsidRPr="00DA60BA" w:rsidRDefault="00DA60BA" w:rsidP="00011790">
            <w:pPr>
              <w:numPr>
                <w:ilvl w:val="0"/>
                <w:numId w:val="1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doradztwo techniczne,</w:t>
            </w:r>
          </w:p>
          <w:p w14:paraId="50C4E6B5" w14:textId="77777777" w:rsidR="00DA60BA" w:rsidRPr="00DA60BA" w:rsidRDefault="00DA60BA" w:rsidP="00011790">
            <w:pPr>
              <w:numPr>
                <w:ilvl w:val="0"/>
                <w:numId w:val="1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usługi body leasing zgodnie z modelem ich pozyskania stosowanym przez Ministerstwo Cyfryzacji,</w:t>
            </w:r>
          </w:p>
          <w:p w14:paraId="2CD37CA8" w14:textId="77777777" w:rsidR="00DA60BA" w:rsidRPr="00DA60BA" w:rsidRDefault="00DA60BA" w:rsidP="00011790">
            <w:pPr>
              <w:numPr>
                <w:ilvl w:val="0"/>
                <w:numId w:val="1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usługi w zakresie wytworzenia oprogramowania.</w:t>
            </w:r>
          </w:p>
          <w:p w14:paraId="48620529"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Ceny usług skalkulowano w oparciu o dane historyczne oraz wartości obecnie zawartych umów na świadczenie wybranego ich rodzaju.</w:t>
            </w:r>
          </w:p>
          <w:p w14:paraId="736CBE59" w14:textId="77777777" w:rsidR="00D41937" w:rsidRDefault="00D41937" w:rsidP="00DA60BA">
            <w:pPr>
              <w:spacing w:after="0" w:line="276" w:lineRule="auto"/>
              <w:jc w:val="both"/>
              <w:rPr>
                <w:rFonts w:ascii="Times New Roman" w:eastAsia="Calibri" w:hAnsi="Times New Roman" w:cs="Times New Roman"/>
                <w:sz w:val="21"/>
              </w:rPr>
            </w:pPr>
          </w:p>
          <w:p w14:paraId="2DCF4EF9"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Promocja</w:t>
            </w:r>
          </w:p>
          <w:p w14:paraId="05157D01"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Usługi w zakresie promocji obejmują:</w:t>
            </w:r>
          </w:p>
          <w:p w14:paraId="24693AF9" w14:textId="77777777" w:rsidR="00DA60BA" w:rsidRPr="00DA60BA" w:rsidRDefault="00DA60BA" w:rsidP="00011790">
            <w:pPr>
              <w:numPr>
                <w:ilvl w:val="0"/>
                <w:numId w:val="19"/>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konferencję podsumowująca projekt</w:t>
            </w:r>
          </w:p>
          <w:p w14:paraId="7408315B" w14:textId="77777777" w:rsidR="00DA60BA" w:rsidRPr="00DA60BA" w:rsidRDefault="00DA60BA" w:rsidP="00011790">
            <w:pPr>
              <w:numPr>
                <w:ilvl w:val="0"/>
                <w:numId w:val="19"/>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konferencje promujące RKB</w:t>
            </w:r>
          </w:p>
          <w:p w14:paraId="795A5429" w14:textId="77777777" w:rsidR="00DA60BA" w:rsidRPr="00DA60BA" w:rsidRDefault="00DA60BA" w:rsidP="00011790">
            <w:pPr>
              <w:numPr>
                <w:ilvl w:val="0"/>
                <w:numId w:val="19"/>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wielokanałową kampanię informacyjną (administracja publiczna)</w:t>
            </w:r>
          </w:p>
          <w:p w14:paraId="195B9C83" w14:textId="77777777" w:rsidR="00DA60BA" w:rsidRPr="00DA60BA" w:rsidRDefault="00DA60BA" w:rsidP="00011790">
            <w:pPr>
              <w:numPr>
                <w:ilvl w:val="0"/>
                <w:numId w:val="19"/>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lastRenderedPageBreak/>
              <w:t>plakat informacyjny</w:t>
            </w:r>
          </w:p>
          <w:p w14:paraId="6A900B8E" w14:textId="77777777" w:rsidR="00DA60BA" w:rsidRPr="00DA60BA" w:rsidRDefault="00DA60BA" w:rsidP="00011790">
            <w:pPr>
              <w:numPr>
                <w:ilvl w:val="0"/>
                <w:numId w:val="19"/>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tablicę informacyjno-pamiątkową</w:t>
            </w:r>
          </w:p>
          <w:p w14:paraId="331828BE" w14:textId="77777777" w:rsidR="009E5C63" w:rsidRPr="000A3661" w:rsidRDefault="00DA60BA" w:rsidP="00011790">
            <w:pPr>
              <w:numPr>
                <w:ilvl w:val="0"/>
                <w:numId w:val="19"/>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dostosowanie serwisu internetowego.</w:t>
            </w:r>
          </w:p>
          <w:p w14:paraId="40DFD8EA" w14:textId="77777777" w:rsidR="009E5C63" w:rsidRPr="00571989" w:rsidRDefault="00BE7A98" w:rsidP="00571989">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Zadanie Promocja projektu wynika wprost zasad promowania projektów finansowanych ze środków Programu Operacyjnego Polska Cyfrowa.</w:t>
            </w:r>
          </w:p>
          <w:p w14:paraId="66916551" w14:textId="77777777" w:rsidR="00BE7A98" w:rsidRPr="00DA60BA" w:rsidRDefault="00BE7A98" w:rsidP="004E685E">
            <w:pPr>
              <w:spacing w:after="0" w:line="298" w:lineRule="auto"/>
              <w:contextualSpacing/>
              <w:jc w:val="both"/>
              <w:rPr>
                <w:rFonts w:ascii="Times New Roman" w:eastAsia="Calibri" w:hAnsi="Times New Roman" w:cs="Times New Roman"/>
                <w:sz w:val="21"/>
              </w:rPr>
            </w:pPr>
          </w:p>
          <w:p w14:paraId="72E8CC3C"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Koszty pośrednie</w:t>
            </w:r>
          </w:p>
          <w:p w14:paraId="67F004A4" w14:textId="77777777" w:rsid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Koszty pośrednie </w:t>
            </w:r>
            <w:r w:rsidR="007C6880">
              <w:rPr>
                <w:rFonts w:ascii="Times New Roman" w:eastAsia="Calibri" w:hAnsi="Times New Roman" w:cs="Times New Roman"/>
                <w:sz w:val="21"/>
              </w:rPr>
              <w:t xml:space="preserve">dotyczą kosztów </w:t>
            </w:r>
            <w:r w:rsidRPr="00DA60BA">
              <w:rPr>
                <w:rFonts w:ascii="Times New Roman" w:eastAsia="Calibri" w:hAnsi="Times New Roman" w:cs="Times New Roman"/>
                <w:sz w:val="21"/>
              </w:rPr>
              <w:t xml:space="preserve">osobowych </w:t>
            </w:r>
            <w:r w:rsidR="007C6880">
              <w:rPr>
                <w:rFonts w:ascii="Times New Roman" w:eastAsia="Calibri" w:hAnsi="Times New Roman" w:cs="Times New Roman"/>
                <w:sz w:val="21"/>
              </w:rPr>
              <w:t xml:space="preserve">personelu wspomagającego realizację </w:t>
            </w:r>
            <w:r w:rsidRPr="00DA60BA">
              <w:rPr>
                <w:rFonts w:ascii="Times New Roman" w:eastAsia="Calibri" w:hAnsi="Times New Roman" w:cs="Times New Roman"/>
                <w:sz w:val="21"/>
              </w:rPr>
              <w:t>projektu planowanego na lata 2019-2021.</w:t>
            </w:r>
          </w:p>
          <w:p w14:paraId="7DEF08A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62CD3C6" w14:textId="77777777"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Koszty operacyjne w perspektywie 11 lat</w:t>
            </w:r>
          </w:p>
          <w:p w14:paraId="10C547BF" w14:textId="77777777" w:rsid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Koszty operacyjne zaplanowano w oparciu o dane dotyczące nakładów inwestycyjnych, konieczność utrzymania odpowiedniego poziomu zatrudnienia zespołów utrzymaniowych oraz prognozy nakładów odtworzeniowych. Prognozę tych kosztów przedstawiono w poniższej tabeli (dane w mln zł).</w:t>
            </w:r>
          </w:p>
          <w:p w14:paraId="7B5E24AD" w14:textId="77777777" w:rsidR="000A3661" w:rsidRDefault="000A3661" w:rsidP="00DA60BA">
            <w:pPr>
              <w:spacing w:after="0" w:line="240" w:lineRule="auto"/>
              <w:jc w:val="both"/>
              <w:rPr>
                <w:rFonts w:ascii="Times New Roman" w:eastAsia="Calibri" w:hAnsi="Times New Roman" w:cs="Times New Roman"/>
                <w:color w:val="000000"/>
                <w:sz w:val="21"/>
                <w:szCs w:val="21"/>
              </w:rPr>
            </w:pPr>
          </w:p>
          <w:tbl>
            <w:tblPr>
              <w:tblW w:w="9124" w:type="dxa"/>
              <w:tblLayout w:type="fixed"/>
              <w:tblCellMar>
                <w:left w:w="70" w:type="dxa"/>
                <w:right w:w="70" w:type="dxa"/>
              </w:tblCellMar>
              <w:tblLook w:val="04A0" w:firstRow="1" w:lastRow="0" w:firstColumn="1" w:lastColumn="0" w:noHBand="0" w:noVBand="1"/>
            </w:tblPr>
            <w:tblGrid>
              <w:gridCol w:w="1888"/>
              <w:gridCol w:w="491"/>
              <w:gridCol w:w="491"/>
              <w:gridCol w:w="492"/>
              <w:gridCol w:w="492"/>
              <w:gridCol w:w="492"/>
              <w:gridCol w:w="492"/>
              <w:gridCol w:w="492"/>
              <w:gridCol w:w="492"/>
              <w:gridCol w:w="492"/>
              <w:gridCol w:w="492"/>
              <w:gridCol w:w="492"/>
              <w:gridCol w:w="492"/>
              <w:gridCol w:w="492"/>
              <w:gridCol w:w="492"/>
              <w:gridCol w:w="350"/>
            </w:tblGrid>
            <w:tr w:rsidR="000A3661" w:rsidRPr="000D5EEB" w14:paraId="14BFB9EB" w14:textId="77777777" w:rsidTr="00571989">
              <w:trPr>
                <w:trHeight w:val="20"/>
              </w:trPr>
              <w:tc>
                <w:tcPr>
                  <w:tcW w:w="1984" w:type="dxa"/>
                  <w:tcBorders>
                    <w:top w:val="nil"/>
                    <w:left w:val="nil"/>
                    <w:bottom w:val="nil"/>
                    <w:right w:val="nil"/>
                  </w:tcBorders>
                  <w:shd w:val="clear" w:color="000000" w:fill="5B9BD5"/>
                  <w:noWrap/>
                  <w:vAlign w:val="bottom"/>
                  <w:hideMark/>
                </w:tcPr>
                <w:p w14:paraId="65B20D30" w14:textId="77777777" w:rsidR="000A3661" w:rsidRPr="000D5EEB" w:rsidRDefault="000A3661" w:rsidP="000A3661">
                  <w:pPr>
                    <w:spacing w:after="0" w:line="240" w:lineRule="auto"/>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Kategoria wydatków</w:t>
                  </w:r>
                </w:p>
              </w:tc>
              <w:tc>
                <w:tcPr>
                  <w:tcW w:w="510" w:type="dxa"/>
                  <w:tcBorders>
                    <w:top w:val="nil"/>
                    <w:left w:val="nil"/>
                    <w:bottom w:val="nil"/>
                    <w:right w:val="nil"/>
                  </w:tcBorders>
                  <w:shd w:val="clear" w:color="000000" w:fill="5B9BD5"/>
                </w:tcPr>
                <w:p w14:paraId="7AB0CC84"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p>
              </w:tc>
              <w:tc>
                <w:tcPr>
                  <w:tcW w:w="510" w:type="dxa"/>
                  <w:tcBorders>
                    <w:top w:val="nil"/>
                    <w:left w:val="nil"/>
                    <w:bottom w:val="nil"/>
                    <w:right w:val="nil"/>
                  </w:tcBorders>
                  <w:shd w:val="clear" w:color="000000" w:fill="5B9BD5"/>
                </w:tcPr>
                <w:p w14:paraId="6BA2DB3D" w14:textId="77777777" w:rsidR="000A3661" w:rsidRPr="002F6B0A" w:rsidRDefault="000A3661" w:rsidP="002F6B0A">
                  <w:pPr>
                    <w:rPr>
                      <w:rFonts w:ascii="Times New Roman" w:eastAsia="Times New Roman" w:hAnsi="Times New Roman" w:cs="Times New Roman"/>
                      <w:sz w:val="16"/>
                      <w:szCs w:val="24"/>
                      <w:lang w:eastAsia="pl-PL"/>
                    </w:rPr>
                  </w:pPr>
                </w:p>
              </w:tc>
              <w:tc>
                <w:tcPr>
                  <w:tcW w:w="510" w:type="dxa"/>
                  <w:tcBorders>
                    <w:top w:val="nil"/>
                    <w:left w:val="nil"/>
                    <w:bottom w:val="nil"/>
                    <w:right w:val="nil"/>
                  </w:tcBorders>
                  <w:shd w:val="clear" w:color="000000" w:fill="5B9BD5"/>
                  <w:noWrap/>
                  <w:vAlign w:val="bottom"/>
                  <w:hideMark/>
                </w:tcPr>
                <w:p w14:paraId="61C19397"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0</w:t>
                  </w:r>
                </w:p>
              </w:tc>
              <w:tc>
                <w:tcPr>
                  <w:tcW w:w="510" w:type="dxa"/>
                  <w:tcBorders>
                    <w:top w:val="nil"/>
                    <w:left w:val="nil"/>
                    <w:bottom w:val="nil"/>
                    <w:right w:val="nil"/>
                  </w:tcBorders>
                  <w:shd w:val="clear" w:color="000000" w:fill="5B9BD5"/>
                  <w:noWrap/>
                  <w:vAlign w:val="bottom"/>
                  <w:hideMark/>
                </w:tcPr>
                <w:p w14:paraId="5A47FF5D"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1</w:t>
                  </w:r>
                </w:p>
              </w:tc>
              <w:tc>
                <w:tcPr>
                  <w:tcW w:w="510" w:type="dxa"/>
                  <w:tcBorders>
                    <w:top w:val="nil"/>
                    <w:left w:val="nil"/>
                    <w:bottom w:val="nil"/>
                    <w:right w:val="nil"/>
                  </w:tcBorders>
                  <w:shd w:val="clear" w:color="000000" w:fill="5B9BD5"/>
                  <w:noWrap/>
                  <w:vAlign w:val="bottom"/>
                  <w:hideMark/>
                </w:tcPr>
                <w:p w14:paraId="171C8820"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2</w:t>
                  </w:r>
                </w:p>
              </w:tc>
              <w:tc>
                <w:tcPr>
                  <w:tcW w:w="510" w:type="dxa"/>
                  <w:tcBorders>
                    <w:top w:val="nil"/>
                    <w:left w:val="nil"/>
                    <w:bottom w:val="nil"/>
                    <w:right w:val="nil"/>
                  </w:tcBorders>
                  <w:shd w:val="clear" w:color="000000" w:fill="5B9BD5"/>
                  <w:noWrap/>
                  <w:vAlign w:val="bottom"/>
                  <w:hideMark/>
                </w:tcPr>
                <w:p w14:paraId="3C9EF856"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3</w:t>
                  </w:r>
                </w:p>
              </w:tc>
              <w:tc>
                <w:tcPr>
                  <w:tcW w:w="510" w:type="dxa"/>
                  <w:tcBorders>
                    <w:top w:val="nil"/>
                    <w:left w:val="nil"/>
                    <w:bottom w:val="nil"/>
                    <w:right w:val="nil"/>
                  </w:tcBorders>
                  <w:shd w:val="clear" w:color="000000" w:fill="5B9BD5"/>
                  <w:noWrap/>
                  <w:vAlign w:val="bottom"/>
                  <w:hideMark/>
                </w:tcPr>
                <w:p w14:paraId="39A9C45F"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4</w:t>
                  </w:r>
                </w:p>
              </w:tc>
              <w:tc>
                <w:tcPr>
                  <w:tcW w:w="510" w:type="dxa"/>
                  <w:tcBorders>
                    <w:top w:val="nil"/>
                    <w:left w:val="nil"/>
                    <w:bottom w:val="nil"/>
                    <w:right w:val="nil"/>
                  </w:tcBorders>
                  <w:shd w:val="clear" w:color="000000" w:fill="5B9BD5"/>
                  <w:noWrap/>
                  <w:vAlign w:val="bottom"/>
                  <w:hideMark/>
                </w:tcPr>
                <w:p w14:paraId="40DF5524"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5</w:t>
                  </w:r>
                </w:p>
              </w:tc>
              <w:tc>
                <w:tcPr>
                  <w:tcW w:w="510" w:type="dxa"/>
                  <w:tcBorders>
                    <w:top w:val="nil"/>
                    <w:left w:val="nil"/>
                    <w:bottom w:val="nil"/>
                    <w:right w:val="nil"/>
                  </w:tcBorders>
                  <w:shd w:val="clear" w:color="000000" w:fill="5B9BD5"/>
                  <w:noWrap/>
                  <w:vAlign w:val="bottom"/>
                  <w:hideMark/>
                </w:tcPr>
                <w:p w14:paraId="52D21DBE"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6</w:t>
                  </w:r>
                </w:p>
              </w:tc>
              <w:tc>
                <w:tcPr>
                  <w:tcW w:w="510" w:type="dxa"/>
                  <w:tcBorders>
                    <w:top w:val="nil"/>
                    <w:left w:val="nil"/>
                    <w:bottom w:val="nil"/>
                    <w:right w:val="nil"/>
                  </w:tcBorders>
                  <w:shd w:val="clear" w:color="000000" w:fill="5B9BD5"/>
                  <w:noWrap/>
                  <w:vAlign w:val="bottom"/>
                  <w:hideMark/>
                </w:tcPr>
                <w:p w14:paraId="61CBEFCB"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7</w:t>
                  </w:r>
                </w:p>
              </w:tc>
              <w:tc>
                <w:tcPr>
                  <w:tcW w:w="510" w:type="dxa"/>
                  <w:tcBorders>
                    <w:top w:val="nil"/>
                    <w:left w:val="nil"/>
                    <w:bottom w:val="nil"/>
                    <w:right w:val="nil"/>
                  </w:tcBorders>
                  <w:shd w:val="clear" w:color="000000" w:fill="5B9BD5"/>
                  <w:noWrap/>
                  <w:vAlign w:val="bottom"/>
                  <w:hideMark/>
                </w:tcPr>
                <w:p w14:paraId="67BB1C8E"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8</w:t>
                  </w:r>
                </w:p>
              </w:tc>
              <w:tc>
                <w:tcPr>
                  <w:tcW w:w="510" w:type="dxa"/>
                  <w:tcBorders>
                    <w:top w:val="nil"/>
                    <w:left w:val="nil"/>
                    <w:bottom w:val="nil"/>
                    <w:right w:val="nil"/>
                  </w:tcBorders>
                  <w:shd w:val="clear" w:color="000000" w:fill="5B9BD5"/>
                  <w:noWrap/>
                  <w:vAlign w:val="bottom"/>
                  <w:hideMark/>
                </w:tcPr>
                <w:p w14:paraId="10435D50"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9</w:t>
                  </w:r>
                </w:p>
              </w:tc>
              <w:tc>
                <w:tcPr>
                  <w:tcW w:w="510" w:type="dxa"/>
                  <w:tcBorders>
                    <w:top w:val="nil"/>
                    <w:left w:val="nil"/>
                    <w:bottom w:val="nil"/>
                    <w:right w:val="nil"/>
                  </w:tcBorders>
                  <w:shd w:val="clear" w:color="000000" w:fill="5B9BD5"/>
                  <w:noWrap/>
                  <w:vAlign w:val="bottom"/>
                  <w:hideMark/>
                </w:tcPr>
                <w:p w14:paraId="035F84DB" w14:textId="77777777"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10</w:t>
                  </w:r>
                </w:p>
              </w:tc>
              <w:tc>
                <w:tcPr>
                  <w:tcW w:w="510" w:type="dxa"/>
                  <w:tcBorders>
                    <w:top w:val="nil"/>
                    <w:left w:val="nil"/>
                    <w:bottom w:val="nil"/>
                    <w:right w:val="nil"/>
                  </w:tcBorders>
                  <w:shd w:val="clear" w:color="000000" w:fill="5B9BD5"/>
                  <w:noWrap/>
                  <w:vAlign w:val="bottom"/>
                  <w:hideMark/>
                </w:tcPr>
                <w:p w14:paraId="02788148" w14:textId="77777777" w:rsidR="000A3661" w:rsidRPr="000D5EEB" w:rsidRDefault="000A3661" w:rsidP="000A3661">
                  <w:pPr>
                    <w:spacing w:after="0" w:line="240" w:lineRule="auto"/>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Łącznie (0-10)</w:t>
                  </w:r>
                </w:p>
              </w:tc>
              <w:tc>
                <w:tcPr>
                  <w:tcW w:w="360" w:type="dxa"/>
                </w:tcPr>
                <w:p w14:paraId="640451B7" w14:textId="77777777" w:rsidR="000A3661" w:rsidRPr="000D5EEB" w:rsidRDefault="002F6B0A">
                  <w:r>
                    <w:tab/>
                  </w:r>
                </w:p>
              </w:tc>
            </w:tr>
            <w:tr w:rsidR="000A3661" w:rsidRPr="000D5EEB" w14:paraId="00B9D763"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1A4C2E16"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Nakłady odtworzeniowe</w:t>
                  </w:r>
                </w:p>
              </w:tc>
              <w:tc>
                <w:tcPr>
                  <w:tcW w:w="510" w:type="dxa"/>
                  <w:tcBorders>
                    <w:top w:val="nil"/>
                    <w:left w:val="nil"/>
                    <w:bottom w:val="nil"/>
                    <w:right w:val="nil"/>
                  </w:tcBorders>
                </w:tcPr>
                <w:p w14:paraId="7790C0E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07465A7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3109E97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44D55D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05E2DF04"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B9261F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9C5EFF7"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993B477"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27F1BF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57,5</w:t>
                  </w:r>
                </w:p>
              </w:tc>
              <w:tc>
                <w:tcPr>
                  <w:tcW w:w="510" w:type="dxa"/>
                  <w:tcBorders>
                    <w:top w:val="nil"/>
                    <w:left w:val="nil"/>
                    <w:bottom w:val="nil"/>
                    <w:right w:val="nil"/>
                  </w:tcBorders>
                  <w:shd w:val="clear" w:color="auto" w:fill="auto"/>
                  <w:noWrap/>
                  <w:vAlign w:val="bottom"/>
                  <w:hideMark/>
                </w:tcPr>
                <w:p w14:paraId="41617BD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53D808F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3,5</w:t>
                  </w:r>
                </w:p>
              </w:tc>
              <w:tc>
                <w:tcPr>
                  <w:tcW w:w="510" w:type="dxa"/>
                  <w:tcBorders>
                    <w:top w:val="nil"/>
                    <w:left w:val="nil"/>
                    <w:bottom w:val="nil"/>
                    <w:right w:val="nil"/>
                  </w:tcBorders>
                  <w:shd w:val="clear" w:color="auto" w:fill="auto"/>
                  <w:noWrap/>
                  <w:vAlign w:val="bottom"/>
                  <w:hideMark/>
                </w:tcPr>
                <w:p w14:paraId="21DDF31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5AC33B4D"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0EC6EE8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61,0</w:t>
                  </w:r>
                </w:p>
              </w:tc>
            </w:tr>
            <w:tr w:rsidR="000A3661" w:rsidRPr="000D5EEB" w14:paraId="5EADD449"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7488ADBB"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Utrzymanie techniczne i serwis</w:t>
                  </w:r>
                </w:p>
              </w:tc>
              <w:tc>
                <w:tcPr>
                  <w:tcW w:w="510" w:type="dxa"/>
                  <w:tcBorders>
                    <w:top w:val="nil"/>
                    <w:left w:val="nil"/>
                    <w:bottom w:val="nil"/>
                    <w:right w:val="nil"/>
                  </w:tcBorders>
                </w:tcPr>
                <w:p w14:paraId="3A7DC4B0"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05EF6C9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4D253F0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28F00AD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1BDDD53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284A8943"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4E808BB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347D6E3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4AF9C8F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6B9F59C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5B454F3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0CFDA683"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79E9B0C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14:paraId="152F9D2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46,4</w:t>
                  </w:r>
                </w:p>
              </w:tc>
            </w:tr>
            <w:tr w:rsidR="000A3661" w:rsidRPr="000D5EEB" w14:paraId="140C5041"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4DB5E7E9"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Aktualizacja oprogramowania i odnowienia licencji</w:t>
                  </w:r>
                </w:p>
              </w:tc>
              <w:tc>
                <w:tcPr>
                  <w:tcW w:w="510" w:type="dxa"/>
                  <w:tcBorders>
                    <w:top w:val="nil"/>
                    <w:left w:val="nil"/>
                    <w:bottom w:val="nil"/>
                    <w:right w:val="nil"/>
                  </w:tcBorders>
                </w:tcPr>
                <w:p w14:paraId="568EA4F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395C8BD3"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2E6CF88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2587ACA3"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0F6AF4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72AEE3E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3A69D5B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0939456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7528F59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3F623B8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36939C1D"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57D8E318"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368CF26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14:paraId="583C155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17,6</w:t>
                  </w:r>
                </w:p>
              </w:tc>
            </w:tr>
            <w:tr w:rsidR="000A3661" w:rsidRPr="000D5EEB" w14:paraId="1DC12CA0"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376F7B52"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 xml:space="preserve">Koszty </w:t>
                  </w:r>
                  <w:r>
                    <w:rPr>
                      <w:rFonts w:ascii="Times New Roman" w:eastAsia="Times New Roman" w:hAnsi="Times New Roman" w:cs="Times New Roman"/>
                      <w:color w:val="000000"/>
                      <w:sz w:val="16"/>
                      <w:szCs w:val="24"/>
                      <w:lang w:eastAsia="pl-PL"/>
                    </w:rPr>
                    <w:t>usług eksperckich</w:t>
                  </w:r>
                </w:p>
              </w:tc>
              <w:tc>
                <w:tcPr>
                  <w:tcW w:w="510" w:type="dxa"/>
                  <w:tcBorders>
                    <w:top w:val="nil"/>
                    <w:left w:val="nil"/>
                    <w:bottom w:val="nil"/>
                    <w:right w:val="nil"/>
                  </w:tcBorders>
                </w:tcPr>
                <w:p w14:paraId="4ADACAF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46AA095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0435997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174C2C1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0433B80"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0E4E879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75B4DA3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36243D7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27568474"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3D240C8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2B01DF07"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01D5E1A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053F139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14:paraId="5FDF8A1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8,0</w:t>
                  </w:r>
                </w:p>
              </w:tc>
            </w:tr>
            <w:tr w:rsidR="000A3661" w:rsidRPr="000D5EEB" w14:paraId="3709B658"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16D9BAFD"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Wynagrodzenia osobowe</w:t>
                  </w:r>
                </w:p>
              </w:tc>
              <w:tc>
                <w:tcPr>
                  <w:tcW w:w="510" w:type="dxa"/>
                  <w:tcBorders>
                    <w:top w:val="nil"/>
                    <w:left w:val="nil"/>
                    <w:bottom w:val="nil"/>
                    <w:right w:val="nil"/>
                  </w:tcBorders>
                </w:tcPr>
                <w:p w14:paraId="39E72C9D"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74A75F6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54048AA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4D47E908"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5AC3B2D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20B1DC1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6256533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24C29F60"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5968E32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27DFB26D"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4BCCD637"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0C42D4ED"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7AEF2C8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448B821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6,4</w:t>
                  </w:r>
                </w:p>
              </w:tc>
            </w:tr>
            <w:tr w:rsidR="000A3661" w:rsidRPr="000D5EEB" w14:paraId="63DB2773"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0AA52497"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Koszty pośrednie</w:t>
                  </w:r>
                </w:p>
              </w:tc>
              <w:tc>
                <w:tcPr>
                  <w:tcW w:w="510" w:type="dxa"/>
                  <w:tcBorders>
                    <w:top w:val="nil"/>
                    <w:left w:val="nil"/>
                    <w:bottom w:val="nil"/>
                    <w:right w:val="nil"/>
                  </w:tcBorders>
                </w:tcPr>
                <w:p w14:paraId="7C79676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5881D81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084C4214"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708FAA9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528F6A7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62F3754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30E7D54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48EECC0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0C1524D3"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223259B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00A7A72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3AC36FE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76AA009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72E55AD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r>
            <w:tr w:rsidR="000A3661" w:rsidRPr="000D5EEB" w14:paraId="67E65CA1"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698540EA"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Energia elektryczna</w:t>
                  </w:r>
                </w:p>
              </w:tc>
              <w:tc>
                <w:tcPr>
                  <w:tcW w:w="510" w:type="dxa"/>
                  <w:tcBorders>
                    <w:top w:val="nil"/>
                    <w:left w:val="nil"/>
                    <w:bottom w:val="nil"/>
                    <w:right w:val="nil"/>
                  </w:tcBorders>
                </w:tcPr>
                <w:p w14:paraId="38183E8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1524967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37AE2F7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3060FF2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0,5</w:t>
                  </w:r>
                </w:p>
              </w:tc>
              <w:tc>
                <w:tcPr>
                  <w:tcW w:w="510" w:type="dxa"/>
                  <w:tcBorders>
                    <w:top w:val="nil"/>
                    <w:left w:val="nil"/>
                    <w:bottom w:val="nil"/>
                    <w:right w:val="nil"/>
                  </w:tcBorders>
                  <w:shd w:val="clear" w:color="auto" w:fill="auto"/>
                  <w:noWrap/>
                  <w:vAlign w:val="bottom"/>
                  <w:hideMark/>
                </w:tcPr>
                <w:p w14:paraId="1429DAE8"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14:paraId="24BFB84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6A0DF00F"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33BF4EFC"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4D45E3B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0D3E29AB"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24D14975"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0BFBDA2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57ED0367"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14:paraId="3AA85C3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8,5</w:t>
                  </w:r>
                </w:p>
              </w:tc>
            </w:tr>
            <w:tr w:rsidR="000A3661" w:rsidRPr="000D5EEB" w14:paraId="48F029B7" w14:textId="77777777" w:rsidTr="00571989">
              <w:trPr>
                <w:gridAfter w:val="1"/>
                <w:wAfter w:w="360" w:type="dxa"/>
                <w:trHeight w:val="20"/>
              </w:trPr>
              <w:tc>
                <w:tcPr>
                  <w:tcW w:w="1984" w:type="dxa"/>
                  <w:tcBorders>
                    <w:top w:val="nil"/>
                    <w:left w:val="nil"/>
                    <w:bottom w:val="nil"/>
                    <w:right w:val="nil"/>
                  </w:tcBorders>
                  <w:shd w:val="clear" w:color="auto" w:fill="auto"/>
                  <w:noWrap/>
                  <w:vAlign w:val="bottom"/>
                  <w:hideMark/>
                </w:tcPr>
                <w:p w14:paraId="0B7C849A" w14:textId="77777777"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Koszty utrzymania systemów (in-house COI)</w:t>
                  </w:r>
                </w:p>
              </w:tc>
              <w:tc>
                <w:tcPr>
                  <w:tcW w:w="510" w:type="dxa"/>
                  <w:tcBorders>
                    <w:top w:val="nil"/>
                    <w:left w:val="nil"/>
                    <w:bottom w:val="nil"/>
                    <w:right w:val="nil"/>
                  </w:tcBorders>
                </w:tcPr>
                <w:p w14:paraId="42F7C1F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14:paraId="35D804A8"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14:paraId="3B376D2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5863865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7D25F6F8"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14:paraId="348084DA"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14,3</w:t>
                  </w:r>
                </w:p>
              </w:tc>
              <w:tc>
                <w:tcPr>
                  <w:tcW w:w="510" w:type="dxa"/>
                  <w:tcBorders>
                    <w:top w:val="nil"/>
                    <w:left w:val="nil"/>
                    <w:bottom w:val="nil"/>
                    <w:right w:val="nil"/>
                  </w:tcBorders>
                  <w:shd w:val="clear" w:color="auto" w:fill="auto"/>
                  <w:noWrap/>
                  <w:vAlign w:val="bottom"/>
                  <w:hideMark/>
                </w:tcPr>
                <w:p w14:paraId="4175634E"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20,3</w:t>
                  </w:r>
                </w:p>
              </w:tc>
              <w:tc>
                <w:tcPr>
                  <w:tcW w:w="510" w:type="dxa"/>
                  <w:tcBorders>
                    <w:top w:val="nil"/>
                    <w:left w:val="nil"/>
                    <w:bottom w:val="nil"/>
                    <w:right w:val="nil"/>
                  </w:tcBorders>
                  <w:shd w:val="clear" w:color="auto" w:fill="auto"/>
                  <w:noWrap/>
                  <w:vAlign w:val="bottom"/>
                  <w:hideMark/>
                </w:tcPr>
                <w:p w14:paraId="4F6F8572"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20,5</w:t>
                  </w:r>
                </w:p>
              </w:tc>
              <w:tc>
                <w:tcPr>
                  <w:tcW w:w="510" w:type="dxa"/>
                  <w:tcBorders>
                    <w:top w:val="nil"/>
                    <w:left w:val="nil"/>
                    <w:bottom w:val="nil"/>
                    <w:right w:val="nil"/>
                  </w:tcBorders>
                  <w:shd w:val="clear" w:color="auto" w:fill="auto"/>
                  <w:noWrap/>
                  <w:vAlign w:val="bottom"/>
                  <w:hideMark/>
                </w:tcPr>
                <w:p w14:paraId="045F45A7"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20,7</w:t>
                  </w:r>
                </w:p>
              </w:tc>
              <w:tc>
                <w:tcPr>
                  <w:tcW w:w="510" w:type="dxa"/>
                  <w:tcBorders>
                    <w:top w:val="nil"/>
                    <w:left w:val="nil"/>
                    <w:bottom w:val="nil"/>
                    <w:right w:val="nil"/>
                  </w:tcBorders>
                  <w:shd w:val="clear" w:color="auto" w:fill="auto"/>
                  <w:noWrap/>
                  <w:vAlign w:val="bottom"/>
                  <w:hideMark/>
                </w:tcPr>
                <w:p w14:paraId="55FFC5F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20,9</w:t>
                  </w:r>
                </w:p>
              </w:tc>
              <w:tc>
                <w:tcPr>
                  <w:tcW w:w="510" w:type="dxa"/>
                  <w:tcBorders>
                    <w:top w:val="nil"/>
                    <w:left w:val="nil"/>
                    <w:bottom w:val="nil"/>
                    <w:right w:val="nil"/>
                  </w:tcBorders>
                  <w:shd w:val="clear" w:color="auto" w:fill="auto"/>
                  <w:noWrap/>
                  <w:vAlign w:val="bottom"/>
                  <w:hideMark/>
                </w:tcPr>
                <w:p w14:paraId="505AC509"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21,2</w:t>
                  </w:r>
                </w:p>
              </w:tc>
              <w:tc>
                <w:tcPr>
                  <w:tcW w:w="510" w:type="dxa"/>
                  <w:tcBorders>
                    <w:top w:val="nil"/>
                    <w:left w:val="nil"/>
                    <w:bottom w:val="nil"/>
                    <w:right w:val="nil"/>
                  </w:tcBorders>
                  <w:shd w:val="clear" w:color="auto" w:fill="auto"/>
                  <w:noWrap/>
                  <w:vAlign w:val="bottom"/>
                  <w:hideMark/>
                </w:tcPr>
                <w:p w14:paraId="4545D378"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21,4</w:t>
                  </w:r>
                </w:p>
              </w:tc>
              <w:tc>
                <w:tcPr>
                  <w:tcW w:w="510" w:type="dxa"/>
                  <w:tcBorders>
                    <w:top w:val="nil"/>
                    <w:left w:val="nil"/>
                    <w:bottom w:val="nil"/>
                    <w:right w:val="nil"/>
                  </w:tcBorders>
                  <w:shd w:val="clear" w:color="auto" w:fill="auto"/>
                  <w:noWrap/>
                  <w:vAlign w:val="bottom"/>
                  <w:hideMark/>
                </w:tcPr>
                <w:p w14:paraId="22CE7D56"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21,6</w:t>
                  </w:r>
                </w:p>
              </w:tc>
              <w:tc>
                <w:tcPr>
                  <w:tcW w:w="510" w:type="dxa"/>
                  <w:tcBorders>
                    <w:top w:val="nil"/>
                    <w:left w:val="nil"/>
                    <w:bottom w:val="nil"/>
                    <w:right w:val="nil"/>
                  </w:tcBorders>
                  <w:shd w:val="clear" w:color="auto" w:fill="auto"/>
                  <w:noWrap/>
                  <w:vAlign w:val="bottom"/>
                  <w:hideMark/>
                </w:tcPr>
                <w:p w14:paraId="66AAFE71" w14:textId="77777777"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160,9</w:t>
                  </w:r>
                </w:p>
              </w:tc>
            </w:tr>
            <w:tr w:rsidR="000A3661" w:rsidRPr="000D5EEB" w14:paraId="7E6BA9AA" w14:textId="77777777" w:rsidTr="00571989">
              <w:trPr>
                <w:gridAfter w:val="1"/>
                <w:wAfter w:w="360" w:type="dxa"/>
                <w:trHeight w:val="20"/>
              </w:trPr>
              <w:tc>
                <w:tcPr>
                  <w:tcW w:w="1984" w:type="dxa"/>
                  <w:tcBorders>
                    <w:top w:val="single" w:sz="4" w:space="0" w:color="5B9BD5"/>
                    <w:left w:val="nil"/>
                    <w:bottom w:val="double" w:sz="6" w:space="0" w:color="5B9BD5"/>
                    <w:right w:val="nil"/>
                  </w:tcBorders>
                  <w:shd w:val="clear" w:color="auto" w:fill="auto"/>
                  <w:noWrap/>
                  <w:vAlign w:val="bottom"/>
                  <w:hideMark/>
                </w:tcPr>
                <w:p w14:paraId="407D2434" w14:textId="77777777" w:rsidR="000A3661" w:rsidRPr="000D5EEB" w:rsidRDefault="000A3661" w:rsidP="000A3661">
                  <w:pPr>
                    <w:spacing w:after="0" w:line="240" w:lineRule="auto"/>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Razem</w:t>
                  </w:r>
                </w:p>
              </w:tc>
              <w:tc>
                <w:tcPr>
                  <w:tcW w:w="510" w:type="dxa"/>
                  <w:tcBorders>
                    <w:top w:val="single" w:sz="4" w:space="0" w:color="5B9BD5"/>
                    <w:left w:val="nil"/>
                    <w:bottom w:val="double" w:sz="6" w:space="0" w:color="5B9BD5"/>
                    <w:right w:val="nil"/>
                  </w:tcBorders>
                </w:tcPr>
                <w:p w14:paraId="1BE2A6C0"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p>
              </w:tc>
              <w:tc>
                <w:tcPr>
                  <w:tcW w:w="510" w:type="dxa"/>
                  <w:tcBorders>
                    <w:top w:val="single" w:sz="4" w:space="0" w:color="5B9BD5"/>
                    <w:left w:val="nil"/>
                    <w:bottom w:val="double" w:sz="6" w:space="0" w:color="5B9BD5"/>
                    <w:right w:val="nil"/>
                  </w:tcBorders>
                </w:tcPr>
                <w:p w14:paraId="6123CEA4"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p>
              </w:tc>
              <w:tc>
                <w:tcPr>
                  <w:tcW w:w="510" w:type="dxa"/>
                  <w:tcBorders>
                    <w:top w:val="single" w:sz="4" w:space="0" w:color="5B9BD5"/>
                    <w:left w:val="nil"/>
                    <w:bottom w:val="double" w:sz="6" w:space="0" w:color="5B9BD5"/>
                    <w:right w:val="nil"/>
                  </w:tcBorders>
                  <w:shd w:val="clear" w:color="auto" w:fill="auto"/>
                  <w:noWrap/>
                  <w:vAlign w:val="bottom"/>
                  <w:hideMark/>
                </w:tcPr>
                <w:p w14:paraId="35BB60F1"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0,0</w:t>
                  </w:r>
                </w:p>
              </w:tc>
              <w:tc>
                <w:tcPr>
                  <w:tcW w:w="510" w:type="dxa"/>
                  <w:tcBorders>
                    <w:top w:val="single" w:sz="4" w:space="0" w:color="5B9BD5"/>
                    <w:left w:val="nil"/>
                    <w:bottom w:val="double" w:sz="6" w:space="0" w:color="5B9BD5"/>
                    <w:right w:val="nil"/>
                  </w:tcBorders>
                  <w:shd w:val="clear" w:color="auto" w:fill="auto"/>
                  <w:noWrap/>
                  <w:vAlign w:val="bottom"/>
                  <w:hideMark/>
                </w:tcPr>
                <w:p w14:paraId="7082BE96"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0,5</w:t>
                  </w:r>
                </w:p>
              </w:tc>
              <w:tc>
                <w:tcPr>
                  <w:tcW w:w="510" w:type="dxa"/>
                  <w:tcBorders>
                    <w:top w:val="single" w:sz="4" w:space="0" w:color="5B9BD5"/>
                    <w:left w:val="nil"/>
                    <w:bottom w:val="double" w:sz="6" w:space="0" w:color="5B9BD5"/>
                    <w:right w:val="nil"/>
                  </w:tcBorders>
                  <w:shd w:val="clear" w:color="auto" w:fill="auto"/>
                  <w:noWrap/>
                  <w:vAlign w:val="bottom"/>
                  <w:hideMark/>
                </w:tcPr>
                <w:p w14:paraId="62D673CE"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0,8</w:t>
                  </w:r>
                </w:p>
              </w:tc>
              <w:tc>
                <w:tcPr>
                  <w:tcW w:w="510" w:type="dxa"/>
                  <w:tcBorders>
                    <w:top w:val="single" w:sz="4" w:space="0" w:color="5B9BD5"/>
                    <w:left w:val="nil"/>
                    <w:bottom w:val="double" w:sz="6" w:space="0" w:color="5B9BD5"/>
                    <w:right w:val="nil"/>
                  </w:tcBorders>
                  <w:shd w:val="clear" w:color="auto" w:fill="auto"/>
                  <w:noWrap/>
                  <w:vAlign w:val="bottom"/>
                  <w:hideMark/>
                </w:tcPr>
                <w:p w14:paraId="582594A7"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25,0</w:t>
                  </w:r>
                </w:p>
              </w:tc>
              <w:tc>
                <w:tcPr>
                  <w:tcW w:w="510" w:type="dxa"/>
                  <w:tcBorders>
                    <w:top w:val="single" w:sz="4" w:space="0" w:color="5B9BD5"/>
                    <w:left w:val="nil"/>
                    <w:bottom w:val="double" w:sz="6" w:space="0" w:color="5B9BD5"/>
                    <w:right w:val="nil"/>
                  </w:tcBorders>
                  <w:shd w:val="clear" w:color="auto" w:fill="auto"/>
                  <w:noWrap/>
                  <w:vAlign w:val="bottom"/>
                  <w:hideMark/>
                </w:tcPr>
                <w:p w14:paraId="34C4BD4F"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31,0</w:t>
                  </w:r>
                </w:p>
              </w:tc>
              <w:tc>
                <w:tcPr>
                  <w:tcW w:w="510" w:type="dxa"/>
                  <w:tcBorders>
                    <w:top w:val="single" w:sz="4" w:space="0" w:color="5B9BD5"/>
                    <w:left w:val="nil"/>
                    <w:bottom w:val="double" w:sz="6" w:space="0" w:color="5B9BD5"/>
                    <w:right w:val="nil"/>
                  </w:tcBorders>
                  <w:shd w:val="clear" w:color="auto" w:fill="auto"/>
                  <w:noWrap/>
                  <w:vAlign w:val="bottom"/>
                  <w:hideMark/>
                </w:tcPr>
                <w:p w14:paraId="7A9F5617"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31,2</w:t>
                  </w:r>
                </w:p>
              </w:tc>
              <w:tc>
                <w:tcPr>
                  <w:tcW w:w="510" w:type="dxa"/>
                  <w:tcBorders>
                    <w:top w:val="single" w:sz="4" w:space="0" w:color="5B9BD5"/>
                    <w:left w:val="nil"/>
                    <w:bottom w:val="double" w:sz="6" w:space="0" w:color="5B9BD5"/>
                    <w:right w:val="nil"/>
                  </w:tcBorders>
                  <w:shd w:val="clear" w:color="auto" w:fill="auto"/>
                  <w:noWrap/>
                  <w:vAlign w:val="bottom"/>
                  <w:hideMark/>
                </w:tcPr>
                <w:p w14:paraId="4DB69AC1"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88,9</w:t>
                  </w:r>
                </w:p>
              </w:tc>
              <w:tc>
                <w:tcPr>
                  <w:tcW w:w="510" w:type="dxa"/>
                  <w:tcBorders>
                    <w:top w:val="single" w:sz="4" w:space="0" w:color="5B9BD5"/>
                    <w:left w:val="nil"/>
                    <w:bottom w:val="double" w:sz="6" w:space="0" w:color="5B9BD5"/>
                    <w:right w:val="nil"/>
                  </w:tcBorders>
                  <w:shd w:val="clear" w:color="auto" w:fill="auto"/>
                  <w:noWrap/>
                  <w:vAlign w:val="bottom"/>
                  <w:hideMark/>
                </w:tcPr>
                <w:p w14:paraId="715BB541"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31,6</w:t>
                  </w:r>
                </w:p>
              </w:tc>
              <w:tc>
                <w:tcPr>
                  <w:tcW w:w="510" w:type="dxa"/>
                  <w:tcBorders>
                    <w:top w:val="single" w:sz="4" w:space="0" w:color="5B9BD5"/>
                    <w:left w:val="nil"/>
                    <w:bottom w:val="double" w:sz="6" w:space="0" w:color="5B9BD5"/>
                    <w:right w:val="nil"/>
                  </w:tcBorders>
                  <w:shd w:val="clear" w:color="auto" w:fill="auto"/>
                  <w:noWrap/>
                  <w:vAlign w:val="bottom"/>
                  <w:hideMark/>
                </w:tcPr>
                <w:p w14:paraId="664561F7"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35,4</w:t>
                  </w:r>
                </w:p>
              </w:tc>
              <w:tc>
                <w:tcPr>
                  <w:tcW w:w="510" w:type="dxa"/>
                  <w:tcBorders>
                    <w:top w:val="single" w:sz="4" w:space="0" w:color="5B9BD5"/>
                    <w:left w:val="nil"/>
                    <w:bottom w:val="double" w:sz="6" w:space="0" w:color="5B9BD5"/>
                    <w:right w:val="nil"/>
                  </w:tcBorders>
                  <w:shd w:val="clear" w:color="auto" w:fill="auto"/>
                  <w:noWrap/>
                  <w:vAlign w:val="bottom"/>
                  <w:hideMark/>
                </w:tcPr>
                <w:p w14:paraId="0ECC3B8B"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32,1</w:t>
                  </w:r>
                </w:p>
              </w:tc>
              <w:tc>
                <w:tcPr>
                  <w:tcW w:w="510" w:type="dxa"/>
                  <w:tcBorders>
                    <w:top w:val="single" w:sz="4" w:space="0" w:color="5B9BD5"/>
                    <w:left w:val="nil"/>
                    <w:bottom w:val="double" w:sz="6" w:space="0" w:color="5B9BD5"/>
                    <w:right w:val="nil"/>
                  </w:tcBorders>
                  <w:shd w:val="clear" w:color="auto" w:fill="auto"/>
                  <w:noWrap/>
                  <w:vAlign w:val="bottom"/>
                  <w:hideMark/>
                </w:tcPr>
                <w:p w14:paraId="4C14EBCF"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32,3</w:t>
                  </w:r>
                </w:p>
              </w:tc>
              <w:tc>
                <w:tcPr>
                  <w:tcW w:w="510" w:type="dxa"/>
                  <w:tcBorders>
                    <w:top w:val="single" w:sz="4" w:space="0" w:color="5B9BD5"/>
                    <w:left w:val="nil"/>
                    <w:bottom w:val="double" w:sz="6" w:space="0" w:color="5B9BD5"/>
                    <w:right w:val="nil"/>
                  </w:tcBorders>
                  <w:shd w:val="clear" w:color="auto" w:fill="auto"/>
                  <w:noWrap/>
                  <w:vAlign w:val="bottom"/>
                  <w:hideMark/>
                </w:tcPr>
                <w:p w14:paraId="59A73366" w14:textId="77777777"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308,8</w:t>
                  </w:r>
                </w:p>
              </w:tc>
            </w:tr>
          </w:tbl>
          <w:p w14:paraId="0358E841" w14:textId="77777777" w:rsidR="0050780C" w:rsidRPr="00DA60BA" w:rsidRDefault="0050780C" w:rsidP="00DA60BA">
            <w:pPr>
              <w:spacing w:after="0" w:line="240" w:lineRule="auto"/>
              <w:jc w:val="both"/>
              <w:rPr>
                <w:rFonts w:ascii="Times New Roman" w:eastAsia="Calibri" w:hAnsi="Times New Roman" w:cs="Times New Roman"/>
                <w:color w:val="000000"/>
                <w:sz w:val="21"/>
                <w:szCs w:val="21"/>
              </w:rPr>
            </w:pPr>
          </w:p>
          <w:p w14:paraId="04D2C515" w14:textId="77777777" w:rsidR="009E5C63" w:rsidRPr="00DA60BA" w:rsidRDefault="009E5C63" w:rsidP="00DA60BA">
            <w:pPr>
              <w:spacing w:after="0" w:line="240" w:lineRule="auto"/>
              <w:jc w:val="both"/>
              <w:rPr>
                <w:rFonts w:ascii="Times New Roman" w:eastAsia="Calibri" w:hAnsi="Times New Roman" w:cs="Times New Roman"/>
                <w:color w:val="000000"/>
                <w:sz w:val="21"/>
                <w:szCs w:val="21"/>
              </w:rPr>
            </w:pPr>
          </w:p>
          <w:p w14:paraId="24DF6456"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Źródłem finansowania ww. kosztów będzie rezerwa celowa WIIP. Średnio w latach 2022-2029 koszty rocznego utrzymania (z uwzględnieniem nakładów odtworzeniowych) wyniosą </w:t>
            </w:r>
            <w:r w:rsidR="00BE7A98" w:rsidRPr="00DA60BA">
              <w:rPr>
                <w:rFonts w:ascii="Times New Roman" w:eastAsia="Calibri" w:hAnsi="Times New Roman" w:cs="Times New Roman"/>
                <w:sz w:val="21"/>
              </w:rPr>
              <w:t>2</w:t>
            </w:r>
            <w:r w:rsidR="00BE7A98">
              <w:rPr>
                <w:rFonts w:ascii="Times New Roman" w:eastAsia="Calibri" w:hAnsi="Times New Roman" w:cs="Times New Roman"/>
                <w:sz w:val="21"/>
              </w:rPr>
              <w:t>8</w:t>
            </w:r>
            <w:r w:rsidRPr="00DA60BA">
              <w:rPr>
                <w:rFonts w:ascii="Times New Roman" w:eastAsia="Calibri" w:hAnsi="Times New Roman" w:cs="Times New Roman"/>
                <w:sz w:val="21"/>
              </w:rPr>
              <w:t>,</w:t>
            </w:r>
            <w:r w:rsidR="00BE7A98">
              <w:rPr>
                <w:rFonts w:ascii="Times New Roman" w:eastAsia="Calibri" w:hAnsi="Times New Roman" w:cs="Times New Roman"/>
                <w:sz w:val="21"/>
              </w:rPr>
              <w:t>1</w:t>
            </w:r>
            <w:r w:rsidR="00BE7A98" w:rsidRPr="00DA60BA">
              <w:rPr>
                <w:rFonts w:ascii="Times New Roman" w:eastAsia="Calibri" w:hAnsi="Times New Roman" w:cs="Times New Roman"/>
                <w:sz w:val="21"/>
              </w:rPr>
              <w:t xml:space="preserve"> </w:t>
            </w:r>
            <w:r w:rsidRPr="00DA60BA">
              <w:rPr>
                <w:rFonts w:ascii="Times New Roman" w:eastAsia="Calibri" w:hAnsi="Times New Roman" w:cs="Times New Roman"/>
                <w:sz w:val="21"/>
              </w:rPr>
              <w:t>mln zł.</w:t>
            </w:r>
          </w:p>
          <w:p w14:paraId="29190971" w14:textId="77777777"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Zaplanowano jednorazowe otworzenie wyposażenia zakupionego w ramach dostawy inicjalnej w latach 2019-2020 oraz stopniowe odtwarzanie infrastruktury rozbudowywanej w kolejnych latach. Dla wszystkich składników majątku przyjęto 5-letni okres odtworzeniowy.</w:t>
            </w:r>
          </w:p>
          <w:p w14:paraId="408BF17E"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Koszty utrzymania infrastruktury (maintanace) skalkulowano w wysokości 10% nakładów inwestycyjnych. Koszty aktualizacji oprogramowania skalkulowano na poziomie 8% wydatków na zakup.</w:t>
            </w:r>
          </w:p>
          <w:p w14:paraId="53BC4683"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78EA0453" w14:textId="77777777"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Prognoza generowanych oszczędności</w:t>
            </w:r>
          </w:p>
          <w:p w14:paraId="44B4E43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Prognozowane oszczędności ujęte w pozycji dochody budżetu państwa zostały oszacowane na podstawie zebranych danych inwentaryzacyjnych oraz prognozy możliwości przeniesienia wybranych zasobów do wspólnej chmury rządowej oraz wyłączenia z użytkowania zbędnych zasobów. W zakresie oszczędności ujęto również kwestię redukcji ilości postępowań o udzielenie zamówienia publicznego na dostawę usług chmury obliczeniowej w administracji publicznej oraz redukcji czasu potrzebnego na uruchomienie nowych środowisk IT w oparciu o usługi chmury obliczeniowej. Wyszczególniono następujące strumienie finansowe generujące oszczędności:</w:t>
            </w:r>
          </w:p>
          <w:p w14:paraId="6AA38910" w14:textId="77777777" w:rsidR="00DA60BA" w:rsidRPr="00DA60BA" w:rsidRDefault="00DA60BA" w:rsidP="00011790">
            <w:pPr>
              <w:numPr>
                <w:ilvl w:val="0"/>
                <w:numId w:val="17"/>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Budowa i rozbudowa RKB – uniknięcie alternatywnego kosztu budowy centrów bezpieczeństwa SOC/NOC przez poszczególne jednostki administracji rządowej;</w:t>
            </w:r>
          </w:p>
          <w:p w14:paraId="1ECE136A" w14:textId="77777777" w:rsidR="00DA60BA" w:rsidRPr="00DA60BA" w:rsidRDefault="00DA60BA" w:rsidP="00011790">
            <w:pPr>
              <w:numPr>
                <w:ilvl w:val="0"/>
                <w:numId w:val="17"/>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Usługi centralne WIIP na rzecz nowych projektów – oszczędności wynikające z redukcji nakładów inwestycyjnych oraz kosztów utrzymania infrastruktury dla nowych projektów finansowanych z POPC oraz wydatków odtworzeniowych dla infrastruktury zakupionej w ramach POIG w latach 2013-2015;</w:t>
            </w:r>
          </w:p>
          <w:p w14:paraId="62CB92DC" w14:textId="77777777" w:rsidR="00DA60BA" w:rsidRPr="00DA60BA" w:rsidRDefault="00DA60BA" w:rsidP="00011790">
            <w:pPr>
              <w:numPr>
                <w:ilvl w:val="0"/>
                <w:numId w:val="17"/>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Konsolidacja i wyłączenie nieefektywnych serwerowni – kalkulacja oszczędności z wyłączenia w latach 2019-2021 sześciu obiektów o pow. poniżej 50 m</w:t>
            </w:r>
            <w:r w:rsidRPr="00DA60BA">
              <w:rPr>
                <w:rFonts w:ascii="Times New Roman" w:eastAsia="Calibri" w:hAnsi="Times New Roman" w:cs="Times New Roman"/>
                <w:color w:val="000000"/>
                <w:sz w:val="21"/>
                <w:szCs w:val="21"/>
                <w:vertAlign w:val="superscript"/>
              </w:rPr>
              <w:t>2</w:t>
            </w:r>
            <w:r w:rsidRPr="00DA60BA">
              <w:rPr>
                <w:rFonts w:ascii="Times New Roman" w:eastAsia="Calibri" w:hAnsi="Times New Roman" w:cs="Times New Roman"/>
                <w:color w:val="000000"/>
                <w:sz w:val="21"/>
                <w:szCs w:val="21"/>
              </w:rPr>
              <w:t xml:space="preserve"> i migracji systemów do WIIP;</w:t>
            </w:r>
          </w:p>
          <w:p w14:paraId="36CDFB75" w14:textId="77777777" w:rsidR="00DA60BA" w:rsidRPr="00DA60BA" w:rsidRDefault="00DA60BA" w:rsidP="00011790">
            <w:pPr>
              <w:numPr>
                <w:ilvl w:val="0"/>
                <w:numId w:val="17"/>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System ZUCH – obejmuje oszczędności czasu pracowników administracji związanego z uproszczeniem procesu zakupu usług chmurowych oraz redukcję kosztów inwestycji w infrastrukturę i utrzymanie systemów IT wynikająca z zakupu usług chmury publicznej.</w:t>
            </w:r>
          </w:p>
          <w:p w14:paraId="173482CF"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48B07B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Podane założenia mogą ulec zmianie ze względu na trwającą aktualizację danych gromadzonych w ramach systemu SIST oraz analizy ekonomiczne związane z opracowaniem studium wykonalności projektu planowanego do realizacji w ramach POPC. Tym samym niniejszy dokument będzie musiał zostać poddany aktualizacji.</w:t>
            </w:r>
          </w:p>
        </w:tc>
      </w:tr>
      <w:tr w:rsidR="00DA60BA" w:rsidRPr="00DA60BA" w14:paraId="49D62A1B" w14:textId="77777777" w:rsidTr="002F6B0A">
        <w:trPr>
          <w:trHeight w:val="345"/>
        </w:trPr>
        <w:tc>
          <w:tcPr>
            <w:tcW w:w="5000" w:type="pct"/>
            <w:gridSpan w:val="27"/>
            <w:shd w:val="clear" w:color="auto" w:fill="99CCFF"/>
          </w:tcPr>
          <w:p w14:paraId="47740AFB" w14:textId="77777777" w:rsidR="00DA60BA" w:rsidRPr="00DA60BA" w:rsidRDefault="00DA60BA" w:rsidP="00011790">
            <w:pPr>
              <w:numPr>
                <w:ilvl w:val="0"/>
                <w:numId w:val="11"/>
              </w:numPr>
              <w:spacing w:before="120" w:after="120" w:line="240" w:lineRule="auto"/>
              <w:jc w:val="both"/>
              <w:rPr>
                <w:rFonts w:ascii="Times New Roman" w:eastAsia="Calibri" w:hAnsi="Times New Roman" w:cs="Times New Roman"/>
                <w:b/>
                <w:color w:val="000000"/>
                <w:spacing w:val="-2"/>
                <w:sz w:val="21"/>
              </w:rPr>
            </w:pPr>
            <w:r w:rsidRPr="00DA60BA">
              <w:rPr>
                <w:rFonts w:ascii="Times New Roman" w:eastAsia="Calibri" w:hAnsi="Times New Roman" w:cs="Times New Roman"/>
                <w:b/>
                <w:color w:val="000000"/>
                <w:spacing w:val="-2"/>
                <w:sz w:val="21"/>
              </w:rPr>
              <w:lastRenderedPageBreak/>
              <w:t xml:space="preserve">Wpływ na </w:t>
            </w:r>
            <w:r w:rsidRPr="00DA60BA">
              <w:rPr>
                <w:rFonts w:ascii="Times New Roman" w:eastAsia="Calibri" w:hAnsi="Times New Roman" w:cs="Times New Roman"/>
                <w:b/>
                <w:color w:val="000000"/>
                <w:sz w:val="21"/>
              </w:rPr>
              <w:t xml:space="preserve">konkurencyjność gospodarki i przedsiębiorczość, w tym funkcjonowanie przedsiębiorców oraz na rodzinę, obywateli i gospodarstwa domowe </w:t>
            </w:r>
          </w:p>
        </w:tc>
      </w:tr>
      <w:tr w:rsidR="00DA60BA" w:rsidRPr="00DA60BA" w14:paraId="5F97EFA8" w14:textId="77777777" w:rsidTr="002F6B0A">
        <w:trPr>
          <w:trHeight w:val="142"/>
        </w:trPr>
        <w:tc>
          <w:tcPr>
            <w:tcW w:w="5000" w:type="pct"/>
            <w:gridSpan w:val="27"/>
            <w:shd w:val="clear" w:color="auto" w:fill="FFFFFF"/>
          </w:tcPr>
          <w:p w14:paraId="381A2F5E"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Skutki</w:t>
            </w:r>
          </w:p>
        </w:tc>
      </w:tr>
      <w:tr w:rsidR="00571989" w:rsidRPr="00DA60BA" w14:paraId="33D9C6ED" w14:textId="77777777" w:rsidTr="002F6B0A">
        <w:trPr>
          <w:trHeight w:val="142"/>
        </w:trPr>
        <w:tc>
          <w:tcPr>
            <w:tcW w:w="1859" w:type="pct"/>
            <w:gridSpan w:val="9"/>
            <w:shd w:val="clear" w:color="auto" w:fill="FFFFFF"/>
          </w:tcPr>
          <w:p w14:paraId="62D1D6F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Czas w latach od wejścia w życie zmian</w:t>
            </w:r>
          </w:p>
        </w:tc>
        <w:tc>
          <w:tcPr>
            <w:tcW w:w="364" w:type="pct"/>
            <w:gridSpan w:val="3"/>
            <w:shd w:val="clear" w:color="auto" w:fill="FFFFFF"/>
          </w:tcPr>
          <w:p w14:paraId="272FF6BB"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14:paraId="76191E3A"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1</w:t>
            </w:r>
          </w:p>
        </w:tc>
        <w:tc>
          <w:tcPr>
            <w:tcW w:w="277" w:type="pct"/>
            <w:gridSpan w:val="2"/>
            <w:shd w:val="clear" w:color="auto" w:fill="FFFFFF"/>
          </w:tcPr>
          <w:p w14:paraId="3CA97D0C"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2</w:t>
            </w:r>
          </w:p>
        </w:tc>
        <w:tc>
          <w:tcPr>
            <w:tcW w:w="404" w:type="pct"/>
            <w:gridSpan w:val="3"/>
            <w:shd w:val="clear" w:color="auto" w:fill="FFFFFF"/>
          </w:tcPr>
          <w:p w14:paraId="4D2F1771"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3</w:t>
            </w:r>
          </w:p>
        </w:tc>
        <w:tc>
          <w:tcPr>
            <w:tcW w:w="405" w:type="pct"/>
            <w:gridSpan w:val="3"/>
            <w:shd w:val="clear" w:color="auto" w:fill="FFFFFF"/>
          </w:tcPr>
          <w:p w14:paraId="22A31AFA"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5</w:t>
            </w:r>
          </w:p>
        </w:tc>
        <w:tc>
          <w:tcPr>
            <w:tcW w:w="207" w:type="pct"/>
            <w:gridSpan w:val="2"/>
            <w:shd w:val="clear" w:color="auto" w:fill="FFFFFF"/>
          </w:tcPr>
          <w:p w14:paraId="664EA2E3"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10</w:t>
            </w:r>
          </w:p>
        </w:tc>
        <w:tc>
          <w:tcPr>
            <w:tcW w:w="1129" w:type="pct"/>
            <w:gridSpan w:val="3"/>
            <w:shd w:val="clear" w:color="auto" w:fill="FFFFFF"/>
          </w:tcPr>
          <w:p w14:paraId="71CBD5E6" w14:textId="77777777" w:rsidR="00DA60BA" w:rsidRPr="00DA60BA" w:rsidRDefault="00DA60BA" w:rsidP="00DA60BA">
            <w:pPr>
              <w:spacing w:after="0" w:line="240" w:lineRule="auto"/>
              <w:jc w:val="center"/>
              <w:rPr>
                <w:rFonts w:ascii="Times New Roman" w:eastAsia="Calibri" w:hAnsi="Times New Roman" w:cs="Times New Roman"/>
                <w:i/>
                <w:color w:val="000000"/>
                <w:spacing w:val="-2"/>
                <w:sz w:val="21"/>
                <w:szCs w:val="21"/>
              </w:rPr>
            </w:pPr>
            <w:r w:rsidRPr="00DA60BA">
              <w:rPr>
                <w:rFonts w:ascii="Times New Roman" w:eastAsia="Calibri" w:hAnsi="Times New Roman" w:cs="Times New Roman"/>
                <w:i/>
                <w:color w:val="000000"/>
                <w:spacing w:val="-2"/>
                <w:sz w:val="21"/>
                <w:szCs w:val="21"/>
              </w:rPr>
              <w:t>Łącznie</w:t>
            </w:r>
            <w:r w:rsidRPr="00DA60BA" w:rsidDel="0073273A">
              <w:rPr>
                <w:rFonts w:ascii="Times New Roman" w:eastAsia="Calibri" w:hAnsi="Times New Roman" w:cs="Times New Roman"/>
                <w:i/>
                <w:color w:val="000000"/>
                <w:spacing w:val="-2"/>
                <w:sz w:val="21"/>
                <w:szCs w:val="21"/>
              </w:rPr>
              <w:t xml:space="preserve"> </w:t>
            </w:r>
            <w:r w:rsidRPr="00DA60BA">
              <w:rPr>
                <w:rFonts w:ascii="Times New Roman" w:eastAsia="Calibri" w:hAnsi="Times New Roman" w:cs="Times New Roman"/>
                <w:i/>
                <w:color w:val="000000"/>
                <w:spacing w:val="-2"/>
                <w:sz w:val="21"/>
                <w:szCs w:val="21"/>
              </w:rPr>
              <w:t>(0-10)</w:t>
            </w:r>
          </w:p>
        </w:tc>
      </w:tr>
      <w:tr w:rsidR="002F6B0A" w:rsidRPr="00DA60BA" w14:paraId="78DCF3D0" w14:textId="77777777" w:rsidTr="002F6B0A">
        <w:trPr>
          <w:trHeight w:val="142"/>
        </w:trPr>
        <w:tc>
          <w:tcPr>
            <w:tcW w:w="623" w:type="pct"/>
            <w:gridSpan w:val="2"/>
            <w:vMerge w:val="restart"/>
            <w:shd w:val="clear" w:color="auto" w:fill="FFFFFF"/>
          </w:tcPr>
          <w:p w14:paraId="44B13B01" w14:textId="77777777" w:rsidR="00DA60BA" w:rsidRPr="00DA60BA" w:rsidRDefault="00DA60BA" w:rsidP="00DA60BA">
            <w:pPr>
              <w:spacing w:after="0" w:line="276"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ujęciu pieniężnym</w:t>
            </w:r>
          </w:p>
          <w:p w14:paraId="5E316516" w14:textId="77777777" w:rsidR="00DA60BA" w:rsidRPr="00DA60BA" w:rsidRDefault="00DA60BA" w:rsidP="00DA60BA">
            <w:pPr>
              <w:spacing w:after="0" w:line="276" w:lineRule="auto"/>
              <w:jc w:val="both"/>
              <w:rPr>
                <w:rFonts w:ascii="Times New Roman" w:eastAsia="Calibri" w:hAnsi="Times New Roman" w:cs="Times New Roman"/>
                <w:spacing w:val="-2"/>
                <w:sz w:val="21"/>
                <w:szCs w:val="21"/>
              </w:rPr>
            </w:pPr>
            <w:r w:rsidRPr="00DA60BA">
              <w:rPr>
                <w:rFonts w:ascii="Times New Roman" w:eastAsia="Calibri" w:hAnsi="Times New Roman" w:cs="Times New Roman"/>
                <w:spacing w:val="-2"/>
                <w:sz w:val="21"/>
                <w:szCs w:val="21"/>
              </w:rPr>
              <w:t xml:space="preserve">(w mln zł, </w:t>
            </w:r>
          </w:p>
          <w:p w14:paraId="27FFE10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pacing w:val="-2"/>
                <w:sz w:val="21"/>
                <w:szCs w:val="21"/>
              </w:rPr>
              <w:t>ceny stałe z 2019 r.)</w:t>
            </w:r>
          </w:p>
        </w:tc>
        <w:tc>
          <w:tcPr>
            <w:tcW w:w="1236" w:type="pct"/>
            <w:gridSpan w:val="7"/>
            <w:shd w:val="clear" w:color="auto" w:fill="FFFFFF"/>
          </w:tcPr>
          <w:p w14:paraId="1E68697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duże przedsiębiorstwa</w:t>
            </w:r>
          </w:p>
        </w:tc>
        <w:tc>
          <w:tcPr>
            <w:tcW w:w="364" w:type="pct"/>
            <w:gridSpan w:val="3"/>
            <w:shd w:val="clear" w:color="auto" w:fill="FFFFFF"/>
          </w:tcPr>
          <w:p w14:paraId="26A2BC3F"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14:paraId="4C1C715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77" w:type="pct"/>
            <w:gridSpan w:val="2"/>
            <w:shd w:val="clear" w:color="auto" w:fill="FFFFFF"/>
          </w:tcPr>
          <w:p w14:paraId="7A34CFC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4" w:type="pct"/>
            <w:gridSpan w:val="3"/>
            <w:shd w:val="clear" w:color="auto" w:fill="FFFFFF"/>
          </w:tcPr>
          <w:p w14:paraId="5713CF7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5" w:type="pct"/>
            <w:gridSpan w:val="3"/>
            <w:shd w:val="clear" w:color="auto" w:fill="FFFFFF"/>
          </w:tcPr>
          <w:p w14:paraId="2E0B283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07" w:type="pct"/>
            <w:gridSpan w:val="2"/>
            <w:shd w:val="clear" w:color="auto" w:fill="FFFFFF"/>
          </w:tcPr>
          <w:p w14:paraId="7D12252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129" w:type="pct"/>
            <w:gridSpan w:val="3"/>
            <w:shd w:val="clear" w:color="auto" w:fill="FFFFFF"/>
          </w:tcPr>
          <w:p w14:paraId="3C2880AB"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2F6B0A" w:rsidRPr="00DA60BA" w14:paraId="42B4A403" w14:textId="77777777" w:rsidTr="002F6B0A">
        <w:trPr>
          <w:trHeight w:val="142"/>
        </w:trPr>
        <w:tc>
          <w:tcPr>
            <w:tcW w:w="623" w:type="pct"/>
            <w:gridSpan w:val="2"/>
            <w:vMerge/>
            <w:shd w:val="clear" w:color="auto" w:fill="FFFFFF"/>
          </w:tcPr>
          <w:p w14:paraId="4F826EA5"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14:paraId="59DB81F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sektor mikro-, małych i średnich przedsiębiorstw</w:t>
            </w:r>
          </w:p>
        </w:tc>
        <w:tc>
          <w:tcPr>
            <w:tcW w:w="364" w:type="pct"/>
            <w:gridSpan w:val="3"/>
            <w:shd w:val="clear" w:color="auto" w:fill="FFFFFF"/>
          </w:tcPr>
          <w:p w14:paraId="55169CC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14:paraId="5F895E4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77" w:type="pct"/>
            <w:gridSpan w:val="2"/>
            <w:shd w:val="clear" w:color="auto" w:fill="FFFFFF"/>
          </w:tcPr>
          <w:p w14:paraId="33F2976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4" w:type="pct"/>
            <w:gridSpan w:val="3"/>
            <w:shd w:val="clear" w:color="auto" w:fill="FFFFFF"/>
          </w:tcPr>
          <w:p w14:paraId="7CA7C49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5" w:type="pct"/>
            <w:gridSpan w:val="3"/>
            <w:shd w:val="clear" w:color="auto" w:fill="FFFFFF"/>
          </w:tcPr>
          <w:p w14:paraId="4B2E34E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07" w:type="pct"/>
            <w:gridSpan w:val="2"/>
            <w:shd w:val="clear" w:color="auto" w:fill="FFFFFF"/>
          </w:tcPr>
          <w:p w14:paraId="46AFECD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129" w:type="pct"/>
            <w:gridSpan w:val="3"/>
            <w:shd w:val="clear" w:color="auto" w:fill="FFFFFF"/>
          </w:tcPr>
          <w:p w14:paraId="661EB28C"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2F6B0A" w:rsidRPr="00DA60BA" w14:paraId="50BC8C97" w14:textId="77777777" w:rsidTr="002F6B0A">
        <w:trPr>
          <w:trHeight w:val="142"/>
        </w:trPr>
        <w:tc>
          <w:tcPr>
            <w:tcW w:w="623" w:type="pct"/>
            <w:gridSpan w:val="2"/>
            <w:vMerge/>
            <w:shd w:val="clear" w:color="auto" w:fill="FFFFFF"/>
          </w:tcPr>
          <w:p w14:paraId="2704EA4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14:paraId="029D2BF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z w:val="21"/>
                <w:szCs w:val="21"/>
              </w:rPr>
              <w:t>rodzina, obywatele oraz gospodarstwa domowe</w:t>
            </w:r>
          </w:p>
        </w:tc>
        <w:tc>
          <w:tcPr>
            <w:tcW w:w="364" w:type="pct"/>
            <w:gridSpan w:val="3"/>
            <w:shd w:val="clear" w:color="auto" w:fill="FFFFFF"/>
          </w:tcPr>
          <w:p w14:paraId="62AC921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14:paraId="116CB99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77" w:type="pct"/>
            <w:gridSpan w:val="2"/>
            <w:shd w:val="clear" w:color="auto" w:fill="FFFFFF"/>
          </w:tcPr>
          <w:p w14:paraId="1318F32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4" w:type="pct"/>
            <w:gridSpan w:val="3"/>
            <w:shd w:val="clear" w:color="auto" w:fill="FFFFFF"/>
          </w:tcPr>
          <w:p w14:paraId="3F341CF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5" w:type="pct"/>
            <w:gridSpan w:val="3"/>
            <w:shd w:val="clear" w:color="auto" w:fill="FFFFFF"/>
          </w:tcPr>
          <w:p w14:paraId="4D472F3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07" w:type="pct"/>
            <w:gridSpan w:val="2"/>
            <w:shd w:val="clear" w:color="auto" w:fill="FFFFFF"/>
          </w:tcPr>
          <w:p w14:paraId="3EEBB09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129" w:type="pct"/>
            <w:gridSpan w:val="3"/>
            <w:shd w:val="clear" w:color="auto" w:fill="FFFFFF"/>
          </w:tcPr>
          <w:p w14:paraId="72E1851D"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2F6B0A" w:rsidRPr="00DA60BA" w14:paraId="34FD0A9B" w14:textId="77777777" w:rsidTr="002F6B0A">
        <w:trPr>
          <w:trHeight w:val="142"/>
        </w:trPr>
        <w:tc>
          <w:tcPr>
            <w:tcW w:w="623" w:type="pct"/>
            <w:gridSpan w:val="2"/>
            <w:vMerge w:val="restart"/>
            <w:shd w:val="clear" w:color="auto" w:fill="FFFFFF"/>
          </w:tcPr>
          <w:p w14:paraId="6C6A5BC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ujęciu niepieniężnym</w:t>
            </w:r>
          </w:p>
        </w:tc>
        <w:tc>
          <w:tcPr>
            <w:tcW w:w="1236" w:type="pct"/>
            <w:gridSpan w:val="7"/>
            <w:shd w:val="clear" w:color="auto" w:fill="FFFFFF"/>
          </w:tcPr>
          <w:p w14:paraId="4750338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duże przedsiębiorstwa</w:t>
            </w:r>
          </w:p>
        </w:tc>
        <w:tc>
          <w:tcPr>
            <w:tcW w:w="3141" w:type="pct"/>
            <w:gridSpan w:val="18"/>
            <w:shd w:val="clear" w:color="auto" w:fill="FFFFFF"/>
          </w:tcPr>
          <w:p w14:paraId="6AD62958"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2F6B0A" w:rsidRPr="00DA60BA" w14:paraId="71F94CFE" w14:textId="77777777" w:rsidTr="002F6B0A">
        <w:trPr>
          <w:trHeight w:val="142"/>
        </w:trPr>
        <w:tc>
          <w:tcPr>
            <w:tcW w:w="623" w:type="pct"/>
            <w:gridSpan w:val="2"/>
            <w:vMerge/>
            <w:shd w:val="clear" w:color="auto" w:fill="FFFFFF"/>
          </w:tcPr>
          <w:p w14:paraId="6A8CBD0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14:paraId="343D159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sektor mikro-, małych i średnich przedsiębiorstw</w:t>
            </w:r>
          </w:p>
        </w:tc>
        <w:tc>
          <w:tcPr>
            <w:tcW w:w="3141" w:type="pct"/>
            <w:gridSpan w:val="18"/>
            <w:shd w:val="clear" w:color="auto" w:fill="FFFFFF"/>
          </w:tcPr>
          <w:p w14:paraId="2671ACA7"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2F6B0A" w:rsidRPr="00DA60BA" w14:paraId="14996758" w14:textId="77777777" w:rsidTr="002F6B0A">
        <w:trPr>
          <w:trHeight w:val="596"/>
        </w:trPr>
        <w:tc>
          <w:tcPr>
            <w:tcW w:w="623" w:type="pct"/>
            <w:gridSpan w:val="2"/>
            <w:vMerge/>
            <w:shd w:val="clear" w:color="auto" w:fill="FFFFFF"/>
          </w:tcPr>
          <w:p w14:paraId="040BB3A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14:paraId="4FF889A7" w14:textId="77777777" w:rsidR="00DA60BA" w:rsidRPr="00DA60BA" w:rsidRDefault="00DA60BA" w:rsidP="00DA60BA">
            <w:pPr>
              <w:tabs>
                <w:tab w:val="right" w:pos="1936"/>
              </w:tabs>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z w:val="21"/>
                <w:szCs w:val="21"/>
              </w:rPr>
              <w:t>rodzina, obywatele oraz gospodarstwa domowe</w:t>
            </w:r>
            <w:r w:rsidRPr="00DA60BA">
              <w:rPr>
                <w:rFonts w:ascii="Times New Roman" w:eastAsia="Calibri" w:hAnsi="Times New Roman" w:cs="Times New Roman"/>
                <w:color w:val="000000"/>
                <w:sz w:val="21"/>
                <w:szCs w:val="21"/>
              </w:rPr>
              <w:t xml:space="preserve"> </w:t>
            </w:r>
          </w:p>
        </w:tc>
        <w:tc>
          <w:tcPr>
            <w:tcW w:w="3141" w:type="pct"/>
            <w:gridSpan w:val="18"/>
            <w:shd w:val="clear" w:color="auto" w:fill="FFFFFF"/>
          </w:tcPr>
          <w:p w14:paraId="0CC5A00A"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brak</w:t>
            </w:r>
          </w:p>
        </w:tc>
      </w:tr>
      <w:tr w:rsidR="002F6B0A" w:rsidRPr="00DA60BA" w14:paraId="50AA51E5" w14:textId="77777777" w:rsidTr="002F6B0A">
        <w:trPr>
          <w:trHeight w:val="1408"/>
        </w:trPr>
        <w:tc>
          <w:tcPr>
            <w:tcW w:w="482" w:type="pct"/>
            <w:shd w:val="clear" w:color="auto" w:fill="FFFFFF"/>
          </w:tcPr>
          <w:p w14:paraId="5C1E47E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Dodatkowe informacje, w tym wskazanie źródeł danych i przyjętych do obliczeń założeń </w:t>
            </w:r>
          </w:p>
        </w:tc>
        <w:tc>
          <w:tcPr>
            <w:tcW w:w="4518" w:type="pct"/>
            <w:gridSpan w:val="26"/>
            <w:shd w:val="clear" w:color="auto" w:fill="FFFFFF"/>
            <w:vAlign w:val="center"/>
          </w:tcPr>
          <w:p w14:paraId="10BA285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Projekt </w:t>
            </w:r>
            <w:r w:rsidR="00A66996">
              <w:rPr>
                <w:rFonts w:ascii="Times New Roman" w:eastAsia="Calibri" w:hAnsi="Times New Roman" w:cs="Times New Roman"/>
                <w:color w:val="000000"/>
                <w:sz w:val="21"/>
                <w:szCs w:val="21"/>
              </w:rPr>
              <w:t>uchwały</w:t>
            </w:r>
            <w:r w:rsidRPr="00DA60BA">
              <w:rPr>
                <w:rFonts w:ascii="Times New Roman" w:eastAsia="Calibri" w:hAnsi="Times New Roman" w:cs="Times New Roman"/>
                <w:color w:val="000000"/>
                <w:sz w:val="21"/>
                <w:szCs w:val="21"/>
              </w:rPr>
              <w:t xml:space="preserve"> nie ma wpływu na konkurencyjność gospodarki i przedsiębiorczość, w tym funkcjonowanie przedsiębiorców oraz na sytuację ekonomiczną i społeczną rodziny, osób niepełnosprawnych oraz osób starszych, a także na obywateli i gospodarstwa domowe.</w:t>
            </w:r>
          </w:p>
        </w:tc>
      </w:tr>
      <w:tr w:rsidR="00DA60BA" w:rsidRPr="00DA60BA" w14:paraId="7D3906A9" w14:textId="77777777" w:rsidTr="002F6B0A">
        <w:trPr>
          <w:trHeight w:val="342"/>
        </w:trPr>
        <w:tc>
          <w:tcPr>
            <w:tcW w:w="5000" w:type="pct"/>
            <w:gridSpan w:val="27"/>
            <w:shd w:val="clear" w:color="auto" w:fill="99CCFF"/>
            <w:vAlign w:val="center"/>
          </w:tcPr>
          <w:p w14:paraId="31149230"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Zmiana obciążeń regulacyjnych (w tym obowiązków informacyjnych) wynikających z projektu</w:t>
            </w:r>
          </w:p>
        </w:tc>
      </w:tr>
      <w:tr w:rsidR="00DA60BA" w:rsidRPr="00DA60BA" w14:paraId="0FB20405" w14:textId="77777777" w:rsidTr="002F6B0A">
        <w:trPr>
          <w:trHeight w:val="151"/>
        </w:trPr>
        <w:tc>
          <w:tcPr>
            <w:tcW w:w="5000" w:type="pct"/>
            <w:gridSpan w:val="27"/>
            <w:shd w:val="clear" w:color="auto" w:fill="FFFFFF"/>
          </w:tcPr>
          <w:p w14:paraId="0FC18FB0"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930998347"/>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nie dotyczy</w:t>
            </w:r>
          </w:p>
        </w:tc>
      </w:tr>
      <w:tr w:rsidR="002F6B0A" w:rsidRPr="00DA60BA" w14:paraId="5B256021" w14:textId="77777777" w:rsidTr="002F6B0A">
        <w:trPr>
          <w:trHeight w:val="946"/>
        </w:trPr>
        <w:tc>
          <w:tcPr>
            <w:tcW w:w="2163" w:type="pct"/>
            <w:gridSpan w:val="11"/>
            <w:shd w:val="clear" w:color="auto" w:fill="FFFFFF"/>
          </w:tcPr>
          <w:p w14:paraId="3B50E652" w14:textId="77777777" w:rsidR="00DA60BA" w:rsidRPr="00DA60BA" w:rsidRDefault="00DA60BA" w:rsidP="00DA60BA">
            <w:pPr>
              <w:spacing w:after="0" w:line="276"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 xml:space="preserve">Wprowadzane są obciążenia poza bezwzględnie wymaganymi przez UE </w:t>
            </w:r>
            <w:r w:rsidRPr="00DA60BA">
              <w:rPr>
                <w:rFonts w:ascii="Times New Roman" w:eastAsia="Calibri" w:hAnsi="Times New Roman" w:cs="Times New Roman"/>
                <w:color w:val="000000"/>
                <w:sz w:val="21"/>
              </w:rPr>
              <w:t>(szczegóły w odwróconej tabeli zgodności).</w:t>
            </w:r>
          </w:p>
        </w:tc>
        <w:tc>
          <w:tcPr>
            <w:tcW w:w="2837" w:type="pct"/>
            <w:gridSpan w:val="16"/>
            <w:shd w:val="clear" w:color="auto" w:fill="FFFFFF"/>
          </w:tcPr>
          <w:p w14:paraId="29A09B9A"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50143279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tak</w:t>
            </w:r>
          </w:p>
          <w:p w14:paraId="117E252F"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774005171"/>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w:t>
            </w:r>
          </w:p>
          <w:p w14:paraId="2F65456E" w14:textId="77777777" w:rsidR="00DA60BA" w:rsidRPr="00DA60BA" w:rsidRDefault="004F5CA2" w:rsidP="00DA60BA">
            <w:pPr>
              <w:spacing w:after="0" w:line="276"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351533669"/>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 dotyczy</w:t>
            </w:r>
          </w:p>
        </w:tc>
      </w:tr>
      <w:tr w:rsidR="002F6B0A" w:rsidRPr="00DA60BA" w14:paraId="21B39B45" w14:textId="77777777" w:rsidTr="002F6B0A">
        <w:trPr>
          <w:trHeight w:val="1245"/>
        </w:trPr>
        <w:tc>
          <w:tcPr>
            <w:tcW w:w="2163" w:type="pct"/>
            <w:gridSpan w:val="11"/>
            <w:shd w:val="clear" w:color="auto" w:fill="FFFFFF"/>
          </w:tcPr>
          <w:p w14:paraId="43E5C3A8"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646118103"/>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zmniejszenie liczby dokumentów </w:t>
            </w:r>
          </w:p>
          <w:p w14:paraId="608FCC8F"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876505849"/>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zmniejszenie liczby procedur</w:t>
            </w:r>
          </w:p>
          <w:p w14:paraId="07A78390"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208205199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skrócenie czasu na załatwienie sprawy</w:t>
            </w:r>
          </w:p>
          <w:p w14:paraId="406ED739" w14:textId="77777777" w:rsidR="00DA60BA" w:rsidRPr="00DA60BA" w:rsidRDefault="004F5CA2" w:rsidP="00DA60BA">
            <w:pPr>
              <w:spacing w:after="0" w:line="276" w:lineRule="auto"/>
              <w:jc w:val="both"/>
              <w:rPr>
                <w:rFonts w:ascii="Times New Roman" w:eastAsia="Calibri" w:hAnsi="Times New Roman" w:cs="Times New Roman"/>
                <w:b/>
                <w:color w:val="000000"/>
                <w:spacing w:val="-2"/>
                <w:sz w:val="21"/>
              </w:rPr>
            </w:pPr>
            <w:sdt>
              <w:sdtPr>
                <w:rPr>
                  <w:rFonts w:ascii="Times New Roman" w:eastAsia="Calibri" w:hAnsi="Times New Roman" w:cs="Times New Roman"/>
                  <w:color w:val="000000"/>
                  <w:spacing w:val="-2"/>
                  <w:sz w:val="21"/>
                </w:rPr>
                <w:id w:val="2112540246"/>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inne:</w:t>
            </w:r>
            <w:r w:rsidR="00DA60BA" w:rsidRPr="00DA60BA">
              <w:rPr>
                <w:rFonts w:ascii="Times New Roman" w:eastAsia="Calibri" w:hAnsi="Times New Roman" w:cs="Times New Roman"/>
                <w:color w:val="000000"/>
                <w:sz w:val="21"/>
              </w:rPr>
              <w:t xml:space="preserve"> …</w:t>
            </w:r>
          </w:p>
        </w:tc>
        <w:tc>
          <w:tcPr>
            <w:tcW w:w="2837" w:type="pct"/>
            <w:gridSpan w:val="16"/>
            <w:shd w:val="clear" w:color="auto" w:fill="FFFFFF"/>
          </w:tcPr>
          <w:p w14:paraId="77436A1D"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2104995084"/>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zwiększenie liczby dokumentów</w:t>
            </w:r>
          </w:p>
          <w:p w14:paraId="704AD484"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z w:val="21"/>
                </w:rPr>
                <w:id w:val="762415844"/>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r w:rsidR="00DA60BA" w:rsidRPr="00DA60BA">
              <w:rPr>
                <w:rFonts w:ascii="Times New Roman" w:eastAsia="Calibri" w:hAnsi="Times New Roman" w:cs="Times New Roman"/>
                <w:color w:val="000000"/>
                <w:spacing w:val="-2"/>
                <w:sz w:val="21"/>
              </w:rPr>
              <w:t>zwiększenie liczby procedur</w:t>
            </w:r>
          </w:p>
          <w:p w14:paraId="01C7C112"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357036351"/>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wydłużenie czasu na załatwienie sprawy</w:t>
            </w:r>
          </w:p>
          <w:p w14:paraId="67467F6B"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14955714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inne:</w:t>
            </w:r>
            <w:r w:rsidR="00DA60BA" w:rsidRPr="00DA60BA">
              <w:rPr>
                <w:rFonts w:ascii="Times New Roman" w:eastAsia="Calibri" w:hAnsi="Times New Roman" w:cs="Times New Roman"/>
                <w:color w:val="000000"/>
                <w:sz w:val="21"/>
              </w:rPr>
              <w:t xml:space="preserve"> …</w:t>
            </w:r>
          </w:p>
          <w:p w14:paraId="16930856"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tc>
      </w:tr>
      <w:tr w:rsidR="002F6B0A" w:rsidRPr="00DA60BA" w14:paraId="2F3ADF7F" w14:textId="77777777" w:rsidTr="002F6B0A">
        <w:trPr>
          <w:trHeight w:val="870"/>
        </w:trPr>
        <w:tc>
          <w:tcPr>
            <w:tcW w:w="2163" w:type="pct"/>
            <w:gridSpan w:val="11"/>
            <w:shd w:val="clear" w:color="auto" w:fill="FFFFFF"/>
          </w:tcPr>
          <w:p w14:paraId="0258593F"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pacing w:val="-2"/>
                <w:sz w:val="21"/>
              </w:rPr>
              <w:t xml:space="preserve">Wprowadzane obciążenia są przystosowane do ich elektronizacji. </w:t>
            </w:r>
          </w:p>
        </w:tc>
        <w:tc>
          <w:tcPr>
            <w:tcW w:w="2837" w:type="pct"/>
            <w:gridSpan w:val="16"/>
            <w:shd w:val="clear" w:color="auto" w:fill="FFFFFF"/>
          </w:tcPr>
          <w:p w14:paraId="12647BB0"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297268939"/>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tak</w:t>
            </w:r>
          </w:p>
          <w:p w14:paraId="33E9D274"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887021666"/>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w:t>
            </w:r>
          </w:p>
          <w:p w14:paraId="2C3B6982"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904862519"/>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 dotyczy</w:t>
            </w:r>
          </w:p>
          <w:p w14:paraId="7E4B70FF"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tc>
      </w:tr>
      <w:tr w:rsidR="00DA60BA" w:rsidRPr="00DA60BA" w14:paraId="48F06BD2" w14:textId="77777777" w:rsidTr="002F6B0A">
        <w:trPr>
          <w:trHeight w:val="630"/>
        </w:trPr>
        <w:tc>
          <w:tcPr>
            <w:tcW w:w="5000" w:type="pct"/>
            <w:gridSpan w:val="27"/>
            <w:shd w:val="clear" w:color="auto" w:fill="FFFFFF"/>
          </w:tcPr>
          <w:p w14:paraId="009CE488"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lastRenderedPageBreak/>
              <w:t>Komentarz:</w:t>
            </w:r>
          </w:p>
          <w:p w14:paraId="1DF7DD45"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Wprowadzane rozwiązania nie wiążą się ze zmianą obciążeń regulacyjnych.</w:t>
            </w:r>
          </w:p>
        </w:tc>
      </w:tr>
      <w:tr w:rsidR="00DA60BA" w:rsidRPr="00DA60BA" w14:paraId="26C004B3" w14:textId="77777777" w:rsidTr="002F6B0A">
        <w:trPr>
          <w:trHeight w:val="142"/>
        </w:trPr>
        <w:tc>
          <w:tcPr>
            <w:tcW w:w="5000" w:type="pct"/>
            <w:gridSpan w:val="27"/>
            <w:shd w:val="clear" w:color="auto" w:fill="99CCFF"/>
          </w:tcPr>
          <w:p w14:paraId="4A652EC4" w14:textId="77777777" w:rsidR="00DA60BA" w:rsidRPr="00DA60BA" w:rsidRDefault="00DA60BA" w:rsidP="00011790">
            <w:pPr>
              <w:numPr>
                <w:ilvl w:val="0"/>
                <w:numId w:val="11"/>
              </w:numPr>
              <w:spacing w:before="60" w:after="60" w:line="240" w:lineRule="auto"/>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Wpływ na rynek pracy </w:t>
            </w:r>
          </w:p>
        </w:tc>
      </w:tr>
      <w:tr w:rsidR="00DA60BA" w:rsidRPr="00DA60BA" w14:paraId="4DE5096A" w14:textId="77777777" w:rsidTr="002F6B0A">
        <w:trPr>
          <w:trHeight w:val="142"/>
        </w:trPr>
        <w:tc>
          <w:tcPr>
            <w:tcW w:w="5000" w:type="pct"/>
            <w:gridSpan w:val="27"/>
            <w:shd w:val="clear" w:color="auto" w:fill="auto"/>
          </w:tcPr>
          <w:p w14:paraId="2F81054B"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Realizacja programu będzie się wiązać z koniecznością utworzenia nowych miejsc pracy związanych z przygotowaniem i implementacją projektu chmury rządowej, a także z utworzeniem dedykowanych jednostek cyberbezpieczeństwa (SOC/NOC).</w:t>
            </w:r>
          </w:p>
          <w:p w14:paraId="03B4E5EB"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 przypadku sektora przedsiębiorstw skutkiem realizacji programu może być redukcja zatrudnienia w działach sprzedaży, związana z uruchomieniem dedykowanego kanału zamawiania usług chmury obliczeniowej w ramach systemu Zamawiania Usług Chmurowych dedykowanego administracji publicznej.</w:t>
            </w:r>
          </w:p>
        </w:tc>
      </w:tr>
      <w:tr w:rsidR="00DA60BA" w:rsidRPr="00DA60BA" w14:paraId="3083DE27" w14:textId="77777777" w:rsidTr="002F6B0A">
        <w:trPr>
          <w:trHeight w:val="142"/>
        </w:trPr>
        <w:tc>
          <w:tcPr>
            <w:tcW w:w="5000" w:type="pct"/>
            <w:gridSpan w:val="27"/>
            <w:shd w:val="clear" w:color="auto" w:fill="99CCFF"/>
          </w:tcPr>
          <w:p w14:paraId="66A70551" w14:textId="77777777" w:rsidR="00DA60BA" w:rsidRPr="00DA60BA" w:rsidRDefault="00DA60BA" w:rsidP="00011790">
            <w:pPr>
              <w:numPr>
                <w:ilvl w:val="0"/>
                <w:numId w:val="11"/>
              </w:numPr>
              <w:spacing w:before="60" w:after="60" w:line="240" w:lineRule="auto"/>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Wpływ na pozostałe obszary</w:t>
            </w:r>
          </w:p>
        </w:tc>
      </w:tr>
      <w:tr w:rsidR="00DA60BA" w:rsidRPr="00DA60BA" w14:paraId="7F579DF4" w14:textId="77777777" w:rsidTr="002F6B0A">
        <w:trPr>
          <w:trHeight w:val="1031"/>
        </w:trPr>
        <w:tc>
          <w:tcPr>
            <w:tcW w:w="1617" w:type="pct"/>
            <w:gridSpan w:val="7"/>
            <w:shd w:val="clear" w:color="auto" w:fill="FFFFFF"/>
          </w:tcPr>
          <w:p w14:paraId="4DEE3CF5"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p w14:paraId="47A56516"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z w:val="21"/>
                </w:rPr>
                <w:id w:val="365952688"/>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r w:rsidR="00DA60BA" w:rsidRPr="00DA60BA">
              <w:rPr>
                <w:rFonts w:ascii="Times New Roman" w:eastAsia="Calibri" w:hAnsi="Times New Roman" w:cs="Times New Roman"/>
                <w:color w:val="000000"/>
                <w:spacing w:val="-2"/>
                <w:sz w:val="21"/>
              </w:rPr>
              <w:t>środowisko naturalne</w:t>
            </w:r>
          </w:p>
          <w:p w14:paraId="2F23CDEB"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888785328"/>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sytuacja i rozwój regionalny</w:t>
            </w:r>
          </w:p>
          <w:p w14:paraId="0B9F6A72"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366884454"/>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inne: </w:t>
            </w:r>
            <w:r w:rsidR="00DA60BA" w:rsidRPr="00DA60BA">
              <w:rPr>
                <w:rFonts w:ascii="Times New Roman" w:eastAsia="Calibri" w:hAnsi="Times New Roman" w:cs="Times New Roman"/>
                <w:color w:val="000000"/>
                <w:sz w:val="21"/>
              </w:rPr>
              <w:t>…</w:t>
            </w:r>
          </w:p>
        </w:tc>
        <w:tc>
          <w:tcPr>
            <w:tcW w:w="1786" w:type="pct"/>
            <w:gridSpan w:val="13"/>
            <w:shd w:val="clear" w:color="auto" w:fill="FFFFFF"/>
          </w:tcPr>
          <w:p w14:paraId="7DC3421F"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p w14:paraId="46CC8DA2"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170861332"/>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demografia</w:t>
            </w:r>
          </w:p>
          <w:p w14:paraId="306248C2"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090503991"/>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mienie państwowe</w:t>
            </w:r>
          </w:p>
        </w:tc>
        <w:tc>
          <w:tcPr>
            <w:tcW w:w="1597" w:type="pct"/>
            <w:gridSpan w:val="7"/>
            <w:shd w:val="clear" w:color="auto" w:fill="FFFFFF"/>
          </w:tcPr>
          <w:p w14:paraId="458E0A33"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p w14:paraId="752A2A8E" w14:textId="77777777" w:rsidR="00DA60BA" w:rsidRPr="00DA60BA" w:rsidRDefault="004F5CA2"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485042436"/>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informatyzacja</w:t>
            </w:r>
          </w:p>
          <w:p w14:paraId="6DAF763B" w14:textId="77777777" w:rsidR="00DA60BA" w:rsidRPr="00DA60BA" w:rsidRDefault="004F5CA2"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7010553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zdrowie</w:t>
            </w:r>
          </w:p>
        </w:tc>
      </w:tr>
      <w:tr w:rsidR="002F6B0A" w:rsidRPr="00DA60BA" w14:paraId="0E3A6979" w14:textId="77777777" w:rsidTr="002F6B0A">
        <w:trPr>
          <w:trHeight w:val="712"/>
        </w:trPr>
        <w:tc>
          <w:tcPr>
            <w:tcW w:w="482" w:type="pct"/>
            <w:shd w:val="clear" w:color="auto" w:fill="FFFFFF"/>
            <w:vAlign w:val="center"/>
          </w:tcPr>
          <w:p w14:paraId="5F53A8D4"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Omówienie wpływu</w:t>
            </w:r>
          </w:p>
        </w:tc>
        <w:tc>
          <w:tcPr>
            <w:tcW w:w="4518" w:type="pct"/>
            <w:gridSpan w:val="26"/>
            <w:shd w:val="clear" w:color="auto" w:fill="FFFFFF"/>
            <w:vAlign w:val="center"/>
          </w:tcPr>
          <w:p w14:paraId="2780AB5A"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Projektowane rozwiązania stanowią istotną zmianę z procesie realizacji zamówień na usługi IT dla jednostek sektora finansów publicznych. Stanowią również kolejny krok na drodze do adaptacji rozwiązań chmury obliczeniowej w administracji publicznej. Ze względu na potencjalnie szerokie oddziaływanie programu planowane korzyści w postaci redukcji kosztów pozyskania i utrzymania infrastruktury informatycznej obejmą nie tylko administrację rządową, lecz również administrację samorządową, przyczyniając się tym samym do stymulacji rozwoju regionalnego.</w:t>
            </w:r>
          </w:p>
        </w:tc>
      </w:tr>
      <w:tr w:rsidR="00DA60BA" w:rsidRPr="00DA60BA" w14:paraId="2E6F620B" w14:textId="77777777" w:rsidTr="002F6B0A">
        <w:trPr>
          <w:trHeight w:val="142"/>
        </w:trPr>
        <w:tc>
          <w:tcPr>
            <w:tcW w:w="5000" w:type="pct"/>
            <w:gridSpan w:val="27"/>
            <w:shd w:val="clear" w:color="auto" w:fill="99CCFF"/>
          </w:tcPr>
          <w:p w14:paraId="71ED0F43"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sz w:val="21"/>
              </w:rPr>
            </w:pPr>
            <w:r w:rsidRPr="00DA60BA">
              <w:rPr>
                <w:rFonts w:ascii="Times New Roman" w:eastAsia="Calibri" w:hAnsi="Times New Roman" w:cs="Times New Roman"/>
                <w:b/>
                <w:spacing w:val="-2"/>
                <w:sz w:val="21"/>
                <w:szCs w:val="21"/>
              </w:rPr>
              <w:t>Planowane wykonanie przepisów aktu prawnego</w:t>
            </w:r>
          </w:p>
        </w:tc>
      </w:tr>
      <w:tr w:rsidR="00DA60BA" w:rsidRPr="00DA60BA" w14:paraId="65D0F023" w14:textId="77777777" w:rsidTr="002F6B0A">
        <w:trPr>
          <w:trHeight w:val="142"/>
        </w:trPr>
        <w:tc>
          <w:tcPr>
            <w:tcW w:w="5000" w:type="pct"/>
            <w:gridSpan w:val="27"/>
            <w:shd w:val="clear" w:color="auto" w:fill="FFFFFF"/>
          </w:tcPr>
          <w:p w14:paraId="02111EA2" w14:textId="092238F4" w:rsidR="00DA60BA" w:rsidRPr="00DA60BA" w:rsidRDefault="00DA60BA" w:rsidP="00764716">
            <w:pPr>
              <w:spacing w:after="0" w:line="240" w:lineRule="auto"/>
              <w:jc w:val="both"/>
              <w:rPr>
                <w:rFonts w:ascii="Times New Roman" w:eastAsia="Calibri" w:hAnsi="Times New Roman" w:cs="Times New Roman"/>
                <w:spacing w:val="-2"/>
                <w:sz w:val="21"/>
              </w:rPr>
            </w:pPr>
            <w:r w:rsidRPr="00DA60BA">
              <w:rPr>
                <w:rFonts w:ascii="Times New Roman" w:eastAsia="Calibri" w:hAnsi="Times New Roman" w:cs="Times New Roman"/>
                <w:color w:val="000000"/>
                <w:sz w:val="21"/>
              </w:rPr>
              <w:t xml:space="preserve">Uchwała </w:t>
            </w:r>
            <w:r w:rsidR="002F6B0A">
              <w:rPr>
                <w:rFonts w:ascii="Times New Roman" w:eastAsia="Calibri" w:hAnsi="Times New Roman" w:cs="Times New Roman"/>
                <w:color w:val="000000"/>
                <w:sz w:val="21"/>
              </w:rPr>
              <w:t>wejdzie w życie z dniem następującym po dniu ogłoszenia</w:t>
            </w:r>
            <w:r w:rsidR="004F5CA2">
              <w:rPr>
                <w:rFonts w:ascii="Times New Roman" w:eastAsia="Calibri" w:hAnsi="Times New Roman" w:cs="Times New Roman"/>
                <w:color w:val="000000"/>
                <w:sz w:val="21"/>
              </w:rPr>
              <w:t>, z wyjątkiem</w:t>
            </w:r>
            <w:r w:rsidR="00764716">
              <w:rPr>
                <w:rFonts w:ascii="Times New Roman" w:eastAsia="Calibri" w:hAnsi="Times New Roman" w:cs="Times New Roman"/>
                <w:color w:val="000000"/>
                <w:sz w:val="21"/>
              </w:rPr>
              <w:t xml:space="preserve"> </w:t>
            </w:r>
            <w:r w:rsidR="00764716" w:rsidRPr="00764716">
              <w:rPr>
                <w:rFonts w:ascii="Times New Roman" w:eastAsia="Calibri" w:hAnsi="Times New Roman" w:cs="Times New Roman"/>
                <w:color w:val="000000"/>
                <w:sz w:val="21"/>
              </w:rPr>
              <w:t xml:space="preserve">§ 9, który </w:t>
            </w:r>
            <w:r w:rsidR="00764716">
              <w:rPr>
                <w:rFonts w:ascii="Times New Roman" w:eastAsia="Calibri" w:hAnsi="Times New Roman" w:cs="Times New Roman"/>
                <w:color w:val="000000"/>
                <w:sz w:val="21"/>
              </w:rPr>
              <w:t>wejdzie</w:t>
            </w:r>
            <w:r w:rsidR="00764716" w:rsidRPr="00764716">
              <w:rPr>
                <w:rFonts w:ascii="Times New Roman" w:eastAsia="Calibri" w:hAnsi="Times New Roman" w:cs="Times New Roman"/>
                <w:color w:val="000000"/>
                <w:sz w:val="21"/>
              </w:rPr>
              <w:t xml:space="preserve"> w życie z dniem 1 stycznia 2020 r.</w:t>
            </w:r>
            <w:r w:rsidR="004F5CA2">
              <w:rPr>
                <w:rFonts w:ascii="Times New Roman" w:eastAsia="Calibri" w:hAnsi="Times New Roman" w:cs="Times New Roman"/>
                <w:color w:val="000000"/>
                <w:sz w:val="21"/>
              </w:rPr>
              <w:t xml:space="preserve"> </w:t>
            </w:r>
            <w:r w:rsidRPr="00DA60BA">
              <w:rPr>
                <w:rFonts w:ascii="Times New Roman" w:eastAsia="Calibri" w:hAnsi="Times New Roman" w:cs="Times New Roman"/>
                <w:color w:val="000000"/>
                <w:sz w:val="21"/>
              </w:rPr>
              <w:t xml:space="preserve"> </w:t>
            </w:r>
          </w:p>
        </w:tc>
      </w:tr>
      <w:tr w:rsidR="00DA60BA" w:rsidRPr="00DA60BA" w14:paraId="632810C2" w14:textId="77777777" w:rsidTr="002F6B0A">
        <w:trPr>
          <w:trHeight w:val="142"/>
        </w:trPr>
        <w:tc>
          <w:tcPr>
            <w:tcW w:w="5000" w:type="pct"/>
            <w:gridSpan w:val="27"/>
            <w:shd w:val="clear" w:color="auto" w:fill="99CCFF"/>
          </w:tcPr>
          <w:p w14:paraId="1B994CE8"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w:t>
            </w:r>
            <w:r w:rsidRPr="00DA60BA">
              <w:rPr>
                <w:rFonts w:ascii="Times New Roman" w:eastAsia="Calibri" w:hAnsi="Times New Roman" w:cs="Times New Roman"/>
                <w:b/>
                <w:spacing w:val="-2"/>
                <w:sz w:val="21"/>
                <w:szCs w:val="21"/>
              </w:rPr>
              <w:t>W jaki sposób i kiedy nastąpi ewaluacja efektów projektu oraz jakie mierniki zostaną zastosowane?</w:t>
            </w:r>
          </w:p>
        </w:tc>
      </w:tr>
      <w:tr w:rsidR="00DA60BA" w:rsidRPr="00DA60BA" w14:paraId="0B596FE3" w14:textId="77777777" w:rsidTr="002F6B0A">
        <w:trPr>
          <w:trHeight w:val="142"/>
        </w:trPr>
        <w:tc>
          <w:tcPr>
            <w:tcW w:w="5000" w:type="pct"/>
            <w:gridSpan w:val="27"/>
            <w:shd w:val="clear" w:color="auto" w:fill="FFFFFF"/>
          </w:tcPr>
          <w:p w14:paraId="1317D053" w14:textId="77777777" w:rsidR="00F747C3" w:rsidRDefault="00F747C3" w:rsidP="00DA60BA">
            <w:p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 xml:space="preserve">Ewaluacja efektów projektu będzie prowadzona cyklicznie w </w:t>
            </w:r>
            <w:r w:rsidR="002A17C2">
              <w:rPr>
                <w:rFonts w:ascii="Times New Roman" w:eastAsia="Calibri" w:hAnsi="Times New Roman" w:cs="Times New Roman"/>
                <w:color w:val="000000"/>
                <w:spacing w:val="-2"/>
                <w:sz w:val="21"/>
              </w:rPr>
              <w:t>trzyletnich</w:t>
            </w:r>
            <w:r>
              <w:rPr>
                <w:rFonts w:ascii="Times New Roman" w:eastAsia="Calibri" w:hAnsi="Times New Roman" w:cs="Times New Roman"/>
                <w:color w:val="000000"/>
                <w:spacing w:val="-2"/>
                <w:sz w:val="21"/>
              </w:rPr>
              <w:t>, stałych interwałach, w oparciu o podstawowe mierniki efektywności wdrażanych rozwiązań:</w:t>
            </w:r>
          </w:p>
          <w:p w14:paraId="139FBE92" w14:textId="77777777" w:rsidR="00F747C3" w:rsidRDefault="00F747C3" w:rsidP="00011790">
            <w:pPr>
              <w:pStyle w:val="Akapitzlist"/>
              <w:numPr>
                <w:ilvl w:val="0"/>
                <w:numId w:val="22"/>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jednostek administracji publicznej korzystających usług Rządowej Chmury Obliczeniowej (szt.</w:t>
            </w:r>
            <w:r w:rsidR="002A17C2">
              <w:rPr>
                <w:rFonts w:ascii="Times New Roman" w:eastAsia="Calibri" w:hAnsi="Times New Roman" w:cs="Times New Roman"/>
                <w:color w:val="000000"/>
                <w:spacing w:val="-2"/>
                <w:sz w:val="21"/>
              </w:rPr>
              <w:t>/rok</w:t>
            </w:r>
            <w:r>
              <w:rPr>
                <w:rFonts w:ascii="Times New Roman" w:eastAsia="Calibri" w:hAnsi="Times New Roman" w:cs="Times New Roman"/>
                <w:color w:val="000000"/>
                <w:spacing w:val="-2"/>
                <w:sz w:val="21"/>
              </w:rPr>
              <w:t>)</w:t>
            </w:r>
          </w:p>
          <w:p w14:paraId="725EA647" w14:textId="77777777" w:rsidR="00F747C3" w:rsidRDefault="00F747C3" w:rsidP="00011790">
            <w:pPr>
              <w:pStyle w:val="Akapitzlist"/>
              <w:numPr>
                <w:ilvl w:val="0"/>
                <w:numId w:val="22"/>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jednostek administracji publicznej korzystających modelu zamawiania usług w ramach Systemu Zapewniania Usług Chmurowych</w:t>
            </w:r>
            <w:r w:rsidR="00AA64E7">
              <w:rPr>
                <w:rFonts w:ascii="Times New Roman" w:eastAsia="Calibri" w:hAnsi="Times New Roman" w:cs="Times New Roman"/>
                <w:color w:val="000000"/>
                <w:spacing w:val="-2"/>
                <w:sz w:val="21"/>
              </w:rPr>
              <w:t xml:space="preserve"> (szt.</w:t>
            </w:r>
            <w:r w:rsidR="002A17C2">
              <w:rPr>
                <w:rFonts w:ascii="Times New Roman" w:eastAsia="Calibri" w:hAnsi="Times New Roman" w:cs="Times New Roman"/>
                <w:color w:val="000000"/>
                <w:spacing w:val="-2"/>
                <w:sz w:val="21"/>
              </w:rPr>
              <w:t>/rok</w:t>
            </w:r>
            <w:r w:rsidR="00AA64E7">
              <w:rPr>
                <w:rFonts w:ascii="Times New Roman" w:eastAsia="Calibri" w:hAnsi="Times New Roman" w:cs="Times New Roman"/>
                <w:color w:val="000000"/>
                <w:spacing w:val="-2"/>
                <w:sz w:val="21"/>
              </w:rPr>
              <w:t>)</w:t>
            </w:r>
          </w:p>
          <w:p w14:paraId="341DD752" w14:textId="77777777" w:rsidR="00754953" w:rsidRDefault="002A17C2" w:rsidP="00011790">
            <w:pPr>
              <w:pStyle w:val="Akapitzlist"/>
              <w:numPr>
                <w:ilvl w:val="0"/>
                <w:numId w:val="22"/>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usług elektronicznych świadczonych na rzecz jed</w:t>
            </w:r>
            <w:r w:rsidR="00026852">
              <w:rPr>
                <w:rFonts w:ascii="Times New Roman" w:eastAsia="Calibri" w:hAnsi="Times New Roman" w:cs="Times New Roman"/>
                <w:color w:val="000000"/>
                <w:spacing w:val="-2"/>
                <w:sz w:val="21"/>
              </w:rPr>
              <w:t xml:space="preserve">nostek administracji publicznej </w:t>
            </w:r>
            <w:r w:rsidR="00E83497">
              <w:rPr>
                <w:rFonts w:ascii="Times New Roman" w:eastAsia="Calibri" w:hAnsi="Times New Roman" w:cs="Times New Roman"/>
                <w:color w:val="000000"/>
                <w:spacing w:val="-2"/>
                <w:sz w:val="21"/>
              </w:rPr>
              <w:t xml:space="preserve">w oparciu o zasoby Rządowej Chmury Obliczeniowej oraz dostawców komercyjnych </w:t>
            </w:r>
            <w:r>
              <w:rPr>
                <w:rFonts w:ascii="Times New Roman" w:eastAsia="Calibri" w:hAnsi="Times New Roman" w:cs="Times New Roman"/>
                <w:color w:val="000000"/>
                <w:spacing w:val="-2"/>
                <w:sz w:val="21"/>
              </w:rPr>
              <w:t>(szt./rok)</w:t>
            </w:r>
            <w:r w:rsidR="00754953">
              <w:rPr>
                <w:rFonts w:ascii="Times New Roman" w:eastAsia="Calibri" w:hAnsi="Times New Roman" w:cs="Times New Roman"/>
                <w:color w:val="000000"/>
                <w:spacing w:val="-2"/>
                <w:sz w:val="21"/>
              </w:rPr>
              <w:t>.</w:t>
            </w:r>
          </w:p>
          <w:p w14:paraId="77DA436C" w14:textId="77777777" w:rsidR="00DA60BA" w:rsidRPr="00430256" w:rsidRDefault="00E83497" w:rsidP="00991CDC">
            <w:pPr>
              <w:spacing w:after="0" w:line="240" w:lineRule="auto"/>
              <w:jc w:val="both"/>
              <w:rPr>
                <w:rFonts w:ascii="Times New Roman" w:hAnsi="Times New Roman"/>
                <w:color w:val="000000"/>
                <w:spacing w:val="-2"/>
                <w:sz w:val="21"/>
              </w:rPr>
            </w:pPr>
            <w:r>
              <w:rPr>
                <w:rFonts w:ascii="Times New Roman" w:eastAsia="Calibri" w:hAnsi="Times New Roman" w:cs="Times New Roman"/>
                <w:color w:val="000000"/>
                <w:spacing w:val="-2"/>
                <w:sz w:val="21"/>
              </w:rPr>
              <w:tab/>
            </w:r>
            <w:r w:rsidR="002A17C2">
              <w:rPr>
                <w:rFonts w:ascii="Times New Roman" w:eastAsia="Calibri" w:hAnsi="Times New Roman" w:cs="Times New Roman"/>
                <w:color w:val="000000"/>
                <w:spacing w:val="-2"/>
                <w:sz w:val="21"/>
              </w:rPr>
              <w:t xml:space="preserve">Pierwszy pomiar zaplanowano </w:t>
            </w:r>
            <w:r w:rsidR="00026852">
              <w:rPr>
                <w:rFonts w:ascii="Times New Roman" w:eastAsia="Calibri" w:hAnsi="Times New Roman" w:cs="Times New Roman"/>
                <w:color w:val="000000"/>
                <w:spacing w:val="-2"/>
                <w:sz w:val="21"/>
              </w:rPr>
              <w:t>w roku 2021, kolejne w latach 2024, 2027. Źródłem danych pomiarowych będą automatyczne raporty generowane w ramach wdrażanych systemów IT, tj. rejestr</w:t>
            </w:r>
            <w:r>
              <w:rPr>
                <w:rFonts w:ascii="Times New Roman" w:eastAsia="Calibri" w:hAnsi="Times New Roman" w:cs="Times New Roman"/>
                <w:color w:val="000000"/>
                <w:spacing w:val="-2"/>
                <w:sz w:val="21"/>
              </w:rPr>
              <w:t xml:space="preserve"> użytkowników, rejestr zawartych porozumień/umów na świadczenie usług elektronicznych, rejestr uruchomionych usług</w:t>
            </w:r>
            <w:r w:rsidR="00026852">
              <w:rPr>
                <w:rFonts w:ascii="Times New Roman" w:eastAsia="Calibri" w:hAnsi="Times New Roman" w:cs="Times New Roman"/>
                <w:color w:val="000000"/>
                <w:spacing w:val="-2"/>
                <w:sz w:val="21"/>
              </w:rPr>
              <w:t xml:space="preserve"> oraz dane przekazywane przez dostawców usług komercyjnych w ramach Systemu Zamawiania Usług Chmurowych</w:t>
            </w:r>
            <w:r>
              <w:rPr>
                <w:rFonts w:ascii="Times New Roman" w:eastAsia="Calibri" w:hAnsi="Times New Roman" w:cs="Times New Roman"/>
                <w:color w:val="000000"/>
                <w:spacing w:val="-2"/>
                <w:sz w:val="21"/>
              </w:rPr>
              <w:t xml:space="preserve"> (dane bilingowe)</w:t>
            </w:r>
            <w:r w:rsidR="00026852">
              <w:rPr>
                <w:rFonts w:ascii="Times New Roman" w:eastAsia="Calibri" w:hAnsi="Times New Roman" w:cs="Times New Roman"/>
                <w:color w:val="000000"/>
                <w:spacing w:val="-2"/>
                <w:sz w:val="21"/>
              </w:rPr>
              <w:t>.</w:t>
            </w:r>
            <w:r>
              <w:rPr>
                <w:rFonts w:ascii="Times New Roman" w:eastAsia="Calibri" w:hAnsi="Times New Roman" w:cs="Times New Roman"/>
                <w:color w:val="000000"/>
                <w:spacing w:val="-2"/>
                <w:sz w:val="21"/>
              </w:rPr>
              <w:tab/>
            </w:r>
          </w:p>
        </w:tc>
      </w:tr>
      <w:tr w:rsidR="00DA60BA" w:rsidRPr="00DA60BA" w14:paraId="2C2B0977" w14:textId="77777777" w:rsidTr="002F6B0A">
        <w:trPr>
          <w:trHeight w:val="142"/>
        </w:trPr>
        <w:tc>
          <w:tcPr>
            <w:tcW w:w="5000" w:type="pct"/>
            <w:gridSpan w:val="27"/>
            <w:shd w:val="clear" w:color="auto" w:fill="99CCFF"/>
          </w:tcPr>
          <w:p w14:paraId="01260F71" w14:textId="77777777" w:rsidR="00DA60BA" w:rsidRPr="00DA60BA" w:rsidRDefault="00DA60BA" w:rsidP="00011790">
            <w:pPr>
              <w:numPr>
                <w:ilvl w:val="0"/>
                <w:numId w:val="11"/>
              </w:numPr>
              <w:spacing w:before="60" w:after="60" w:line="240" w:lineRule="auto"/>
              <w:ind w:left="318" w:hanging="284"/>
              <w:jc w:val="both"/>
              <w:rPr>
                <w:rFonts w:ascii="Times New Roman" w:eastAsia="Calibri" w:hAnsi="Times New Roman" w:cs="Times New Roman"/>
                <w:b/>
                <w:color w:val="000000"/>
                <w:spacing w:val="-2"/>
                <w:sz w:val="21"/>
              </w:rPr>
            </w:pPr>
            <w:r w:rsidRPr="00DA60BA">
              <w:rPr>
                <w:rFonts w:ascii="Times New Roman" w:eastAsia="Calibri" w:hAnsi="Times New Roman" w:cs="Times New Roman"/>
                <w:b/>
                <w:color w:val="000000"/>
                <w:spacing w:val="-2"/>
                <w:sz w:val="21"/>
              </w:rPr>
              <w:t xml:space="preserve">Załączniki </w:t>
            </w:r>
            <w:r w:rsidRPr="00DA60BA">
              <w:rPr>
                <w:rFonts w:ascii="Times New Roman" w:eastAsia="Calibri" w:hAnsi="Times New Roman" w:cs="Times New Roman"/>
                <w:b/>
                <w:spacing w:val="-2"/>
                <w:sz w:val="21"/>
                <w:szCs w:val="21"/>
              </w:rPr>
              <w:t>(istotne dokumenty źródłowe, badania, analizy itp.</w:t>
            </w:r>
            <w:r w:rsidRPr="00DA60BA">
              <w:rPr>
                <w:rFonts w:ascii="Times New Roman" w:eastAsia="Calibri" w:hAnsi="Times New Roman" w:cs="Times New Roman"/>
                <w:b/>
                <w:color w:val="000000"/>
                <w:spacing w:val="-2"/>
                <w:sz w:val="21"/>
              </w:rPr>
              <w:t xml:space="preserve">) </w:t>
            </w:r>
          </w:p>
        </w:tc>
      </w:tr>
      <w:tr w:rsidR="00DA60BA" w:rsidRPr="00DA60BA" w14:paraId="2AFD91FA" w14:textId="77777777" w:rsidTr="002F6B0A">
        <w:trPr>
          <w:trHeight w:val="142"/>
        </w:trPr>
        <w:tc>
          <w:tcPr>
            <w:tcW w:w="5000" w:type="pct"/>
            <w:gridSpan w:val="27"/>
            <w:shd w:val="clear" w:color="auto" w:fill="FFFFFF"/>
          </w:tcPr>
          <w:p w14:paraId="0A16E28B" w14:textId="77777777" w:rsidR="00DA60BA" w:rsidRPr="00991CDC" w:rsidRDefault="00991CDC" w:rsidP="00011790">
            <w:pPr>
              <w:pStyle w:val="Akapitzlist"/>
              <w:numPr>
                <w:ilvl w:val="0"/>
                <w:numId w:val="23"/>
              </w:numPr>
              <w:spacing w:after="0" w:line="240" w:lineRule="auto"/>
              <w:jc w:val="both"/>
              <w:rPr>
                <w:rFonts w:ascii="Times New Roman" w:eastAsia="Calibri" w:hAnsi="Times New Roman" w:cs="Times New Roman"/>
                <w:color w:val="000000"/>
                <w:spacing w:val="-2"/>
                <w:sz w:val="21"/>
              </w:rPr>
            </w:pPr>
            <w:r w:rsidRPr="00991CDC">
              <w:rPr>
                <w:rFonts w:ascii="Times New Roman" w:eastAsia="Calibri" w:hAnsi="Times New Roman" w:cs="Times New Roman"/>
                <w:color w:val="000000"/>
                <w:spacing w:val="-2"/>
                <w:sz w:val="21"/>
              </w:rPr>
              <w:t>Analiza ryzyka zagrożeń dla ochrony danych osobowych w ramach inicjatywy WIIP</w:t>
            </w:r>
          </w:p>
        </w:tc>
      </w:tr>
    </w:tbl>
    <w:p w14:paraId="5CD5EABD" w14:textId="77777777" w:rsidR="00430256" w:rsidRDefault="00430256" w:rsidP="00AE71F5">
      <w:pPr>
        <w:spacing w:after="0" w:line="360" w:lineRule="auto"/>
        <w:jc w:val="both"/>
        <w:rPr>
          <w:rFonts w:ascii="Times New Roman" w:eastAsia="Times New Roman" w:hAnsi="Times New Roman" w:cs="Times New Roman"/>
          <w:color w:val="000000"/>
          <w:sz w:val="24"/>
          <w:szCs w:val="24"/>
        </w:rPr>
      </w:pPr>
    </w:p>
    <w:p w14:paraId="159B3EB9" w14:textId="77777777" w:rsidR="00430256" w:rsidRDefault="004302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bookmarkStart w:id="47" w:name="_GoBack"/>
      <w:bookmarkEnd w:id="47"/>
    </w:p>
    <w:p w14:paraId="7FC20A22" w14:textId="77777777" w:rsidR="00430256" w:rsidRPr="00655E14" w:rsidRDefault="00430256" w:rsidP="00430256">
      <w:pPr>
        <w:jc w:val="right"/>
        <w:rPr>
          <w:rFonts w:ascii="Times New Roman" w:hAnsi="Times New Roman" w:cs="Times New Roman"/>
          <w:sz w:val="24"/>
          <w:szCs w:val="24"/>
        </w:rPr>
      </w:pPr>
      <w:r w:rsidRPr="00655E14">
        <w:rPr>
          <w:rFonts w:ascii="Times New Roman" w:hAnsi="Times New Roman" w:cs="Times New Roman"/>
          <w:sz w:val="24"/>
          <w:szCs w:val="24"/>
        </w:rPr>
        <w:lastRenderedPageBreak/>
        <w:t>Załącznik do OSR</w:t>
      </w:r>
    </w:p>
    <w:p w14:paraId="520BACC4" w14:textId="77777777" w:rsidR="00430256" w:rsidRPr="00430256" w:rsidRDefault="00430256" w:rsidP="00430256">
      <w:pPr>
        <w:keepNext/>
        <w:keepLines/>
        <w:spacing w:before="240" w:after="0" w:line="298" w:lineRule="auto"/>
        <w:jc w:val="both"/>
        <w:outlineLvl w:val="0"/>
        <w:rPr>
          <w:rFonts w:ascii="Times New Roman" w:eastAsiaTheme="majorEastAsia" w:hAnsi="Times New Roman" w:cs="Times New Roman"/>
          <w:b/>
          <w:color w:val="000000" w:themeColor="text1"/>
          <w:sz w:val="32"/>
          <w:szCs w:val="32"/>
        </w:rPr>
      </w:pPr>
      <w:r w:rsidRPr="00430256">
        <w:rPr>
          <w:rFonts w:ascii="Times New Roman" w:eastAsiaTheme="majorEastAsia" w:hAnsi="Times New Roman" w:cs="Times New Roman"/>
          <w:b/>
          <w:color w:val="000000" w:themeColor="text1"/>
          <w:sz w:val="32"/>
          <w:szCs w:val="32"/>
        </w:rPr>
        <w:t>Analiza ryzyka zagrożeń dla ochrony danych osobowych w ramach inicjatywy WIIP</w:t>
      </w:r>
    </w:p>
    <w:p w14:paraId="24EFC321" w14:textId="77777777"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Analizę ryzyka sporządzono w oparciu katalog zagrożeń dla ochrony danych związanych z przetwarzaniem danych w chmurze, który został określony w Opinii 5/2012 w sprawie przetwarzania danych w chmurze obliczeniowej, sporządzonej w ramach Grupy Roboczej Artykułu 29 ds. Ochrony Danych oraz metodykę określoną zarządzeniem nr 5 Ministra Cyfryzacji z dnia 27 lutego 2019 r. w sprawie zatwierdzania do realizacji oraz zarządzania projektami, programami i portfelem projektów w resorcie cyfryzacji (Dz. Urz. Ministra Cyfryzacji z 2019 poz. 6).</w:t>
      </w:r>
    </w:p>
    <w:p w14:paraId="1D1DA05B" w14:textId="77777777"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Prawdopodobieństwa oraz wpływ wystąpienia ryzyka określono w czterostopniowej skali, przyjmując następujące definicje:</w:t>
      </w:r>
    </w:p>
    <w:p w14:paraId="149D94F5" w14:textId="77777777" w:rsidR="00430256" w:rsidRPr="00430256" w:rsidRDefault="00430256" w:rsidP="00011790">
      <w:pPr>
        <w:numPr>
          <w:ilvl w:val="0"/>
          <w:numId w:val="24"/>
        </w:numPr>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Prawdopodobieństwo wystąpienia ryzyka:</w:t>
      </w:r>
    </w:p>
    <w:p w14:paraId="7C6842EF"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 xml:space="preserve">4 – Bardzo prawdopodobne, </w:t>
      </w:r>
    </w:p>
    <w:p w14:paraId="46DCB30D"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3 – Prawie na pewno wydarzy się,</w:t>
      </w:r>
    </w:p>
    <w:p w14:paraId="1BCDC6AD"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2 – Mało prawdopodobne,</w:t>
      </w:r>
    </w:p>
    <w:p w14:paraId="404BA33B"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1 – Prawie na pewno się nie wydarzy.</w:t>
      </w:r>
    </w:p>
    <w:p w14:paraId="30C1D3BE" w14:textId="77777777" w:rsidR="00430256" w:rsidRPr="00430256" w:rsidRDefault="00430256" w:rsidP="00011790">
      <w:pPr>
        <w:numPr>
          <w:ilvl w:val="0"/>
          <w:numId w:val="24"/>
        </w:numPr>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Wpływ ryzyka:</w:t>
      </w:r>
    </w:p>
    <w:p w14:paraId="16E4FA8A"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4 – Ryzyko może wpłynąć na uzasadnienie projektu uchwały, w tym efekty wprowadzenia regulacji,</w:t>
      </w:r>
    </w:p>
    <w:p w14:paraId="696C43CA"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3 – Ryzyko może wpłynąć na plan realizacji projektów objętych inicjatywą,</w:t>
      </w:r>
    </w:p>
    <w:p w14:paraId="79719D68"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2 – Ryzyko może wpłynąć na termin i zakres kamieni milowych inicjatywy,</w:t>
      </w:r>
    </w:p>
    <w:p w14:paraId="16B096BF"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1 – Ryzyko może wpłynąć na dostawę wybranego produktu projektu.</w:t>
      </w:r>
    </w:p>
    <w:p w14:paraId="0F93C986"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Na podstawie oceny ryzyka oraz wyliczeniu jego istotności można przedstawić ryzyka na wykresie (</w:t>
      </w:r>
      <w:r w:rsidRPr="00430256">
        <w:rPr>
          <w:rFonts w:ascii="Times New Roman" w:hAnsi="Times New Roman" w:cs="Times New Roman"/>
          <w:sz w:val="24"/>
          <w:szCs w:val="24"/>
        </w:rPr>
        <w:fldChar w:fldCharType="begin"/>
      </w:r>
      <w:r w:rsidRPr="00430256">
        <w:rPr>
          <w:rFonts w:ascii="Times New Roman" w:hAnsi="Times New Roman" w:cs="Times New Roman"/>
          <w:sz w:val="24"/>
          <w:szCs w:val="24"/>
        </w:rPr>
        <w:instrText xml:space="preserve"> REF _Ref11399469 \h </w:instrText>
      </w:r>
      <w:r w:rsidR="00655E14" w:rsidRPr="00655E14">
        <w:rPr>
          <w:rFonts w:ascii="Times New Roman" w:hAnsi="Times New Roman" w:cs="Times New Roman"/>
          <w:sz w:val="24"/>
          <w:szCs w:val="24"/>
        </w:rPr>
        <w:instrText xml:space="preserve"> \* MERGEFORMAT </w:instrText>
      </w:r>
      <w:r w:rsidRPr="00430256">
        <w:rPr>
          <w:rFonts w:ascii="Times New Roman" w:hAnsi="Times New Roman" w:cs="Times New Roman"/>
          <w:sz w:val="24"/>
          <w:szCs w:val="24"/>
        </w:rPr>
      </w:r>
      <w:r w:rsidRPr="00430256">
        <w:rPr>
          <w:rFonts w:ascii="Times New Roman" w:hAnsi="Times New Roman" w:cs="Times New Roman"/>
          <w:sz w:val="24"/>
          <w:szCs w:val="24"/>
        </w:rPr>
        <w:fldChar w:fldCharType="separate"/>
      </w:r>
      <w:r w:rsidR="0000712E" w:rsidRPr="0000712E">
        <w:rPr>
          <w:rFonts w:ascii="Times New Roman" w:hAnsi="Times New Roman" w:cs="Times New Roman"/>
          <w:sz w:val="24"/>
          <w:szCs w:val="24"/>
        </w:rPr>
        <w:t xml:space="preserve">Rysunek </w:t>
      </w:r>
      <w:r w:rsidR="0000712E" w:rsidRPr="0000712E">
        <w:rPr>
          <w:rFonts w:ascii="Times New Roman" w:hAnsi="Times New Roman" w:cs="Times New Roman"/>
          <w:noProof/>
          <w:sz w:val="24"/>
          <w:szCs w:val="24"/>
        </w:rPr>
        <w:t>1</w:t>
      </w:r>
      <w:r w:rsidRPr="00430256">
        <w:rPr>
          <w:rFonts w:ascii="Times New Roman" w:hAnsi="Times New Roman" w:cs="Times New Roman"/>
          <w:sz w:val="24"/>
          <w:szCs w:val="24"/>
        </w:rPr>
        <w:fldChar w:fldCharType="end"/>
      </w:r>
      <w:r w:rsidRPr="00430256">
        <w:rPr>
          <w:rFonts w:ascii="Times New Roman" w:hAnsi="Times New Roman" w:cs="Times New Roman"/>
          <w:sz w:val="24"/>
          <w:szCs w:val="24"/>
        </w:rPr>
        <w:t>). Ocena ryzyka pozwala na określenie najodpowiedniejszej reakcji na ryzyko.</w:t>
      </w:r>
    </w:p>
    <w:tbl>
      <w:tblPr>
        <w:tblStyle w:val="Tabela-Siatka2"/>
        <w:tblW w:w="0" w:type="auto"/>
        <w:tblLook w:val="04A0" w:firstRow="1" w:lastRow="0" w:firstColumn="1" w:lastColumn="0" w:noHBand="0" w:noVBand="1"/>
      </w:tblPr>
      <w:tblGrid>
        <w:gridCol w:w="541"/>
        <w:gridCol w:w="541"/>
        <w:gridCol w:w="541"/>
        <w:gridCol w:w="541"/>
        <w:gridCol w:w="541"/>
      </w:tblGrid>
      <w:tr w:rsidR="00430256" w:rsidRPr="00430256" w14:paraId="4BD56EB1" w14:textId="77777777" w:rsidTr="004B5C9A">
        <w:trPr>
          <w:trHeight w:val="466"/>
        </w:trPr>
        <w:tc>
          <w:tcPr>
            <w:tcW w:w="541" w:type="dxa"/>
            <w:tcBorders>
              <w:top w:val="nil"/>
              <w:left w:val="nil"/>
              <w:bottom w:val="nil"/>
            </w:tcBorders>
            <w:vAlign w:val="center"/>
          </w:tcPr>
          <w:p w14:paraId="33A6CCA2"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C000"/>
            <w:vAlign w:val="center"/>
          </w:tcPr>
          <w:p w14:paraId="21052A1C"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0000"/>
            <w:vAlign w:val="center"/>
          </w:tcPr>
          <w:p w14:paraId="5E2D440B"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c>
          <w:tcPr>
            <w:tcW w:w="541" w:type="dxa"/>
            <w:shd w:val="clear" w:color="auto" w:fill="FF0000"/>
            <w:vAlign w:val="center"/>
          </w:tcPr>
          <w:p w14:paraId="09984BF7"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12</w:t>
            </w:r>
          </w:p>
        </w:tc>
        <w:tc>
          <w:tcPr>
            <w:tcW w:w="541" w:type="dxa"/>
            <w:shd w:val="clear" w:color="auto" w:fill="FF0000"/>
            <w:vAlign w:val="center"/>
          </w:tcPr>
          <w:p w14:paraId="32A700C6"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16</w:t>
            </w:r>
          </w:p>
        </w:tc>
      </w:tr>
      <w:tr w:rsidR="00430256" w:rsidRPr="00430256" w14:paraId="76BEF8E8" w14:textId="77777777" w:rsidTr="004B5C9A">
        <w:trPr>
          <w:trHeight w:val="466"/>
        </w:trPr>
        <w:tc>
          <w:tcPr>
            <w:tcW w:w="541" w:type="dxa"/>
            <w:tcBorders>
              <w:top w:val="nil"/>
              <w:left w:val="nil"/>
              <w:bottom w:val="nil"/>
            </w:tcBorders>
            <w:vAlign w:val="center"/>
          </w:tcPr>
          <w:p w14:paraId="56045012"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shd w:val="clear" w:color="auto" w:fill="92D050"/>
            <w:vAlign w:val="center"/>
          </w:tcPr>
          <w:p w14:paraId="7E809F39"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shd w:val="clear" w:color="auto" w:fill="FFC000"/>
            <w:vAlign w:val="center"/>
          </w:tcPr>
          <w:p w14:paraId="276941FF"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6</w:t>
            </w:r>
          </w:p>
        </w:tc>
        <w:tc>
          <w:tcPr>
            <w:tcW w:w="541" w:type="dxa"/>
            <w:shd w:val="clear" w:color="auto" w:fill="FF0000"/>
            <w:vAlign w:val="center"/>
          </w:tcPr>
          <w:p w14:paraId="0C15A9E2"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c>
          <w:tcPr>
            <w:tcW w:w="541" w:type="dxa"/>
            <w:shd w:val="clear" w:color="auto" w:fill="FF0000"/>
            <w:vAlign w:val="center"/>
          </w:tcPr>
          <w:p w14:paraId="3622F933"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12</w:t>
            </w:r>
          </w:p>
        </w:tc>
      </w:tr>
      <w:tr w:rsidR="00430256" w:rsidRPr="00430256" w14:paraId="560AB7DB" w14:textId="77777777" w:rsidTr="004B5C9A">
        <w:trPr>
          <w:trHeight w:val="480"/>
        </w:trPr>
        <w:tc>
          <w:tcPr>
            <w:tcW w:w="541" w:type="dxa"/>
            <w:tcBorders>
              <w:top w:val="nil"/>
              <w:left w:val="nil"/>
              <w:bottom w:val="nil"/>
            </w:tcBorders>
            <w:vAlign w:val="center"/>
          </w:tcPr>
          <w:p w14:paraId="175FE541"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shd w:val="clear" w:color="auto" w:fill="92D050"/>
            <w:vAlign w:val="center"/>
          </w:tcPr>
          <w:p w14:paraId="54EAA396"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shd w:val="clear" w:color="auto" w:fill="FFC000"/>
            <w:vAlign w:val="center"/>
          </w:tcPr>
          <w:p w14:paraId="48929B71"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C000"/>
            <w:vAlign w:val="center"/>
          </w:tcPr>
          <w:p w14:paraId="3B6211BF"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6</w:t>
            </w:r>
          </w:p>
        </w:tc>
        <w:tc>
          <w:tcPr>
            <w:tcW w:w="541" w:type="dxa"/>
            <w:shd w:val="clear" w:color="auto" w:fill="FF0000"/>
            <w:vAlign w:val="center"/>
          </w:tcPr>
          <w:p w14:paraId="3C4FA21B"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r>
      <w:tr w:rsidR="00430256" w:rsidRPr="00430256" w14:paraId="2AB2DF99" w14:textId="77777777" w:rsidTr="004B5C9A">
        <w:trPr>
          <w:trHeight w:val="466"/>
        </w:trPr>
        <w:tc>
          <w:tcPr>
            <w:tcW w:w="541" w:type="dxa"/>
            <w:tcBorders>
              <w:top w:val="nil"/>
              <w:left w:val="nil"/>
              <w:bottom w:val="nil"/>
            </w:tcBorders>
            <w:vAlign w:val="center"/>
          </w:tcPr>
          <w:p w14:paraId="743C226C"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bottom w:val="single" w:sz="4" w:space="0" w:color="auto"/>
            </w:tcBorders>
            <w:shd w:val="clear" w:color="auto" w:fill="92D050"/>
            <w:vAlign w:val="center"/>
          </w:tcPr>
          <w:p w14:paraId="42018F95"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bottom w:val="single" w:sz="4" w:space="0" w:color="auto"/>
            </w:tcBorders>
            <w:shd w:val="clear" w:color="auto" w:fill="92D050"/>
            <w:vAlign w:val="center"/>
          </w:tcPr>
          <w:p w14:paraId="50EE14D4"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tcBorders>
              <w:bottom w:val="single" w:sz="4" w:space="0" w:color="auto"/>
            </w:tcBorders>
            <w:shd w:val="clear" w:color="auto" w:fill="92D050"/>
            <w:vAlign w:val="center"/>
          </w:tcPr>
          <w:p w14:paraId="58A1F0B7"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tcBorders>
              <w:bottom w:val="single" w:sz="4" w:space="0" w:color="auto"/>
            </w:tcBorders>
            <w:shd w:val="clear" w:color="auto" w:fill="FFC000"/>
            <w:vAlign w:val="center"/>
          </w:tcPr>
          <w:p w14:paraId="579C854E"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r>
      <w:tr w:rsidR="00430256" w:rsidRPr="00430256" w14:paraId="418E087F" w14:textId="77777777" w:rsidTr="004B5C9A">
        <w:trPr>
          <w:trHeight w:val="466"/>
        </w:trPr>
        <w:tc>
          <w:tcPr>
            <w:tcW w:w="541" w:type="dxa"/>
            <w:tcBorders>
              <w:top w:val="nil"/>
              <w:left w:val="nil"/>
              <w:bottom w:val="nil"/>
              <w:right w:val="nil"/>
            </w:tcBorders>
          </w:tcPr>
          <w:p w14:paraId="2B38B764"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p>
        </w:tc>
        <w:tc>
          <w:tcPr>
            <w:tcW w:w="541" w:type="dxa"/>
            <w:tcBorders>
              <w:left w:val="nil"/>
              <w:bottom w:val="nil"/>
              <w:right w:val="nil"/>
            </w:tcBorders>
            <w:vAlign w:val="center"/>
          </w:tcPr>
          <w:p w14:paraId="39E043C1"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left w:val="nil"/>
              <w:bottom w:val="nil"/>
              <w:right w:val="nil"/>
            </w:tcBorders>
            <w:vAlign w:val="center"/>
          </w:tcPr>
          <w:p w14:paraId="6B942771"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tcBorders>
              <w:left w:val="nil"/>
              <w:bottom w:val="nil"/>
              <w:right w:val="nil"/>
            </w:tcBorders>
            <w:vAlign w:val="center"/>
          </w:tcPr>
          <w:p w14:paraId="2DB9FC35"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tcBorders>
              <w:left w:val="nil"/>
              <w:bottom w:val="nil"/>
              <w:right w:val="nil"/>
            </w:tcBorders>
            <w:vAlign w:val="center"/>
          </w:tcPr>
          <w:p w14:paraId="530D554B" w14:textId="77777777" w:rsidR="00430256" w:rsidRPr="00430256" w:rsidRDefault="00430256" w:rsidP="00430256">
            <w:pPr>
              <w:keepNext/>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r>
    </w:tbl>
    <w:p w14:paraId="00E8B959" w14:textId="77777777" w:rsidR="00430256" w:rsidRPr="00430256" w:rsidRDefault="00430256" w:rsidP="00430256">
      <w:pPr>
        <w:spacing w:after="200" w:line="240" w:lineRule="auto"/>
        <w:jc w:val="both"/>
        <w:rPr>
          <w:rFonts w:ascii="Times New Roman" w:hAnsi="Times New Roman" w:cs="Times New Roman"/>
          <w:i/>
          <w:iCs/>
          <w:color w:val="44546A" w:themeColor="text2"/>
          <w:sz w:val="24"/>
          <w:szCs w:val="24"/>
        </w:rPr>
      </w:pPr>
      <w:bookmarkStart w:id="48" w:name="_Ref11399469"/>
      <w:r w:rsidRPr="00430256">
        <w:rPr>
          <w:rFonts w:ascii="Times New Roman" w:hAnsi="Times New Roman" w:cs="Times New Roman"/>
          <w:i/>
          <w:iCs/>
          <w:color w:val="44546A" w:themeColor="text2"/>
          <w:sz w:val="24"/>
          <w:szCs w:val="24"/>
        </w:rPr>
        <w:t xml:space="preserve">Rysunek </w:t>
      </w:r>
      <w:r w:rsidRPr="00430256">
        <w:rPr>
          <w:rFonts w:ascii="Times New Roman" w:hAnsi="Times New Roman" w:cs="Times New Roman"/>
          <w:i/>
          <w:iCs/>
          <w:color w:val="44546A" w:themeColor="text2"/>
          <w:sz w:val="24"/>
          <w:szCs w:val="24"/>
        </w:rPr>
        <w:fldChar w:fldCharType="begin"/>
      </w:r>
      <w:r w:rsidRPr="00430256">
        <w:rPr>
          <w:rFonts w:ascii="Times New Roman" w:hAnsi="Times New Roman" w:cs="Times New Roman"/>
          <w:i/>
          <w:iCs/>
          <w:color w:val="44546A" w:themeColor="text2"/>
          <w:sz w:val="24"/>
          <w:szCs w:val="24"/>
        </w:rPr>
        <w:instrText xml:space="preserve"> SEQ Rysunek \* ARABIC </w:instrText>
      </w:r>
      <w:r w:rsidRPr="00430256">
        <w:rPr>
          <w:rFonts w:ascii="Times New Roman" w:hAnsi="Times New Roman" w:cs="Times New Roman"/>
          <w:i/>
          <w:iCs/>
          <w:color w:val="44546A" w:themeColor="text2"/>
          <w:sz w:val="24"/>
          <w:szCs w:val="24"/>
        </w:rPr>
        <w:fldChar w:fldCharType="separate"/>
      </w:r>
      <w:r w:rsidR="0000712E">
        <w:rPr>
          <w:rFonts w:ascii="Times New Roman" w:hAnsi="Times New Roman" w:cs="Times New Roman"/>
          <w:i/>
          <w:iCs/>
          <w:noProof/>
          <w:color w:val="44546A" w:themeColor="text2"/>
          <w:sz w:val="24"/>
          <w:szCs w:val="24"/>
        </w:rPr>
        <w:t>1</w:t>
      </w:r>
      <w:r w:rsidRPr="00430256">
        <w:rPr>
          <w:rFonts w:ascii="Times New Roman" w:hAnsi="Times New Roman" w:cs="Times New Roman"/>
          <w:i/>
          <w:iCs/>
          <w:noProof/>
          <w:color w:val="44546A" w:themeColor="text2"/>
          <w:sz w:val="24"/>
          <w:szCs w:val="24"/>
        </w:rPr>
        <w:fldChar w:fldCharType="end"/>
      </w:r>
      <w:bookmarkEnd w:id="48"/>
      <w:r w:rsidRPr="00430256">
        <w:rPr>
          <w:rFonts w:ascii="Times New Roman" w:hAnsi="Times New Roman" w:cs="Times New Roman"/>
          <w:i/>
          <w:iCs/>
          <w:color w:val="44546A" w:themeColor="text2"/>
          <w:sz w:val="24"/>
          <w:szCs w:val="24"/>
        </w:rPr>
        <w:t>. Macierz ryzyka</w:t>
      </w:r>
    </w:p>
    <w:p w14:paraId="7B1B2A33"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lastRenderedPageBreak/>
        <w:t>Poniżej przedstawiono zakres reakcji na zagrożenia związane z wystąpieniem czynników ryzyka:</w:t>
      </w:r>
    </w:p>
    <w:p w14:paraId="5C2EE06F" w14:textId="77777777" w:rsidR="00430256" w:rsidRPr="00430256" w:rsidRDefault="00430256" w:rsidP="00011790">
      <w:pPr>
        <w:numPr>
          <w:ilvl w:val="0"/>
          <w:numId w:val="25"/>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Unikanie – zmiana sposobu realizacji projektu w celu wyeliminowania ryzyka jego wystąpienia lub wpływu;</w:t>
      </w:r>
    </w:p>
    <w:p w14:paraId="0D64FC16" w14:textId="77777777" w:rsidR="00430256" w:rsidRPr="00430256" w:rsidRDefault="00430256" w:rsidP="00011790">
      <w:pPr>
        <w:numPr>
          <w:ilvl w:val="0"/>
          <w:numId w:val="25"/>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Mitygacja – działanie mające na celu zmniejszenie prawdopodobieństwa wystąpienia lub wpływu wystąpienia ryzyka;</w:t>
      </w:r>
    </w:p>
    <w:p w14:paraId="762791D5" w14:textId="77777777" w:rsidR="00430256" w:rsidRPr="00430256" w:rsidRDefault="00430256" w:rsidP="00011790">
      <w:pPr>
        <w:numPr>
          <w:ilvl w:val="0"/>
          <w:numId w:val="25"/>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Plan rezerwowy – przygotowanie planu działań na wypadek wystąpienia ryzyka;</w:t>
      </w:r>
    </w:p>
    <w:p w14:paraId="6712A145" w14:textId="77777777" w:rsidR="00430256" w:rsidRPr="00430256" w:rsidRDefault="00430256" w:rsidP="00011790">
      <w:pPr>
        <w:numPr>
          <w:ilvl w:val="0"/>
          <w:numId w:val="25"/>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Przeniesienie – przeniesienie skutków finansowych wystąpienia ryzyka na stronę trzecią (np. ubezpieczenie);</w:t>
      </w:r>
    </w:p>
    <w:p w14:paraId="50C1CEE0" w14:textId="77777777" w:rsidR="00430256" w:rsidRPr="00430256" w:rsidRDefault="00430256" w:rsidP="00011790">
      <w:pPr>
        <w:numPr>
          <w:ilvl w:val="0"/>
          <w:numId w:val="25"/>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Współdzielenie – w przypadku wystąpienia ryzyka jego skutki są współdzielone przez dwie strony (np. dwóch kontrahentów);</w:t>
      </w:r>
    </w:p>
    <w:p w14:paraId="362A360D" w14:textId="77777777" w:rsidR="00430256" w:rsidRPr="00430256" w:rsidRDefault="00430256" w:rsidP="00011790">
      <w:pPr>
        <w:numPr>
          <w:ilvl w:val="0"/>
          <w:numId w:val="25"/>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Akceptacja – akceptacja wystąpienia ryzyka, w przypadku gdy zarządzanie nim jest bardziej kosztowne od skutków jego wystąpienia.</w:t>
      </w:r>
    </w:p>
    <w:p w14:paraId="0C685FED"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Im ryzyko ma wyższą istotność (czerwony kolor na powyższym rysunku), tym bardziej stanowcze działania w celu jego unikania, czy przeniesienia zostały zaplanowane.</w:t>
      </w:r>
    </w:p>
    <w:p w14:paraId="1B34BA5A"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Poniżej zaprezentowano tabelę ryzyka dla ochrony danych osobowych w ramach inicjatywy WIIP.</w:t>
      </w:r>
    </w:p>
    <w:p w14:paraId="50DDCB76" w14:textId="77777777" w:rsidR="00430256" w:rsidRPr="00430256" w:rsidRDefault="00430256" w:rsidP="00430256">
      <w:pPr>
        <w:tabs>
          <w:tab w:val="left" w:pos="876"/>
        </w:tabs>
        <w:spacing w:line="298" w:lineRule="auto"/>
        <w:jc w:val="both"/>
        <w:rPr>
          <w:rFonts w:ascii="Times New Roman" w:hAnsi="Times New Roman" w:cs="Times New Roman"/>
        </w:rPr>
        <w:sectPr w:rsidR="00430256" w:rsidRPr="00430256" w:rsidSect="004B5C9A">
          <w:pgSz w:w="11906" w:h="16838"/>
          <w:pgMar w:top="1417" w:right="1417" w:bottom="1417" w:left="1417" w:header="708" w:footer="708" w:gutter="0"/>
          <w:cols w:space="708"/>
          <w:docGrid w:linePitch="360"/>
        </w:sectPr>
      </w:pPr>
      <w:r w:rsidRPr="00430256">
        <w:rPr>
          <w:rFonts w:ascii="Times New Roman" w:hAnsi="Times New Roman" w:cs="Times New Roman"/>
        </w:rPr>
        <w:tab/>
      </w:r>
    </w:p>
    <w:p w14:paraId="67D3539E" w14:textId="77777777" w:rsidR="00430256" w:rsidRPr="00430256" w:rsidRDefault="00430256" w:rsidP="00430256">
      <w:pPr>
        <w:spacing w:line="298" w:lineRule="auto"/>
        <w:jc w:val="both"/>
        <w:rPr>
          <w:rFonts w:ascii="Times New Roman" w:hAnsi="Times New Roman" w:cs="Times New Roman"/>
        </w:rPr>
      </w:pPr>
    </w:p>
    <w:tbl>
      <w:tblPr>
        <w:tblStyle w:val="Tabelasiatki1jasna"/>
        <w:tblW w:w="0" w:type="auto"/>
        <w:tblLayout w:type="fixed"/>
        <w:tblLook w:val="0620" w:firstRow="1" w:lastRow="0" w:firstColumn="0" w:lastColumn="0" w:noHBand="1" w:noVBand="1"/>
      </w:tblPr>
      <w:tblGrid>
        <w:gridCol w:w="1271"/>
        <w:gridCol w:w="3827"/>
        <w:gridCol w:w="851"/>
        <w:gridCol w:w="567"/>
        <w:gridCol w:w="567"/>
        <w:gridCol w:w="1417"/>
        <w:gridCol w:w="5494"/>
      </w:tblGrid>
      <w:tr w:rsidR="00430256" w:rsidRPr="00430256" w14:paraId="790B4F1C" w14:textId="77777777" w:rsidTr="00655E14">
        <w:trPr>
          <w:cnfStyle w:val="100000000000" w:firstRow="1" w:lastRow="0" w:firstColumn="0" w:lastColumn="0" w:oddVBand="0" w:evenVBand="0" w:oddHBand="0" w:evenHBand="0" w:firstRowFirstColumn="0" w:firstRowLastColumn="0" w:lastRowFirstColumn="0" w:lastRowLastColumn="0"/>
          <w:cantSplit/>
          <w:trHeight w:val="2259"/>
          <w:tblHeader/>
        </w:trPr>
        <w:tc>
          <w:tcPr>
            <w:tcW w:w="1271" w:type="dxa"/>
          </w:tcPr>
          <w:p w14:paraId="313BC7DD" w14:textId="77777777" w:rsidR="00430256" w:rsidRPr="00430256" w:rsidRDefault="00430256" w:rsidP="00430256">
            <w:pPr>
              <w:spacing w:line="298" w:lineRule="auto"/>
              <w:jc w:val="both"/>
              <w:rPr>
                <w:rFonts w:ascii="Times New Roman" w:hAnsi="Times New Roman" w:cs="Times New Roman"/>
              </w:rPr>
            </w:pPr>
            <w:bookmarkStart w:id="49" w:name="OLE_LINK1"/>
            <w:r w:rsidRPr="00430256">
              <w:rPr>
                <w:rFonts w:ascii="Times New Roman" w:hAnsi="Times New Roman" w:cs="Times New Roman"/>
              </w:rPr>
              <w:t>Kategoria</w:t>
            </w:r>
          </w:p>
        </w:tc>
        <w:tc>
          <w:tcPr>
            <w:tcW w:w="3827" w:type="dxa"/>
          </w:tcPr>
          <w:p w14:paraId="5D6F3F9A"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Rodzaj ryzyka</w:t>
            </w:r>
          </w:p>
        </w:tc>
        <w:tc>
          <w:tcPr>
            <w:tcW w:w="851" w:type="dxa"/>
            <w:textDirection w:val="btLr"/>
          </w:tcPr>
          <w:p w14:paraId="0FE7DA61"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Prawdopodobieństwo wystąpienia</w:t>
            </w:r>
          </w:p>
        </w:tc>
        <w:tc>
          <w:tcPr>
            <w:tcW w:w="567" w:type="dxa"/>
            <w:textDirection w:val="btLr"/>
          </w:tcPr>
          <w:p w14:paraId="4CB17023"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Istotność ryzyka</w:t>
            </w:r>
          </w:p>
        </w:tc>
        <w:tc>
          <w:tcPr>
            <w:tcW w:w="567" w:type="dxa"/>
            <w:textDirection w:val="btLr"/>
          </w:tcPr>
          <w:p w14:paraId="4E27D1B2" w14:textId="77777777" w:rsidR="00430256" w:rsidRPr="00430256" w:rsidRDefault="00430256" w:rsidP="00430256">
            <w:pPr>
              <w:spacing w:line="298" w:lineRule="auto"/>
              <w:ind w:left="113" w:right="113"/>
              <w:jc w:val="both"/>
              <w:rPr>
                <w:rFonts w:ascii="Times New Roman" w:hAnsi="Times New Roman" w:cs="Times New Roman"/>
              </w:rPr>
            </w:pPr>
            <w:r w:rsidRPr="00430256">
              <w:rPr>
                <w:rFonts w:ascii="Times New Roman" w:hAnsi="Times New Roman" w:cs="Times New Roman"/>
              </w:rPr>
              <w:t>Ocena ryzyka</w:t>
            </w:r>
          </w:p>
        </w:tc>
        <w:tc>
          <w:tcPr>
            <w:tcW w:w="1417" w:type="dxa"/>
          </w:tcPr>
          <w:p w14:paraId="68A4717A"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Reakcja</w:t>
            </w:r>
          </w:p>
        </w:tc>
        <w:tc>
          <w:tcPr>
            <w:tcW w:w="5494" w:type="dxa"/>
          </w:tcPr>
          <w:p w14:paraId="07A25108"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Ocena wpływu i opis działań zaradczych</w:t>
            </w:r>
          </w:p>
        </w:tc>
      </w:tr>
      <w:tr w:rsidR="00430256" w:rsidRPr="00430256" w14:paraId="308C987B" w14:textId="77777777" w:rsidTr="00655E14">
        <w:tc>
          <w:tcPr>
            <w:tcW w:w="1271" w:type="dxa"/>
            <w:vMerge w:val="restart"/>
          </w:tcPr>
          <w:p w14:paraId="41E6CFA5"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kontroli</w:t>
            </w:r>
          </w:p>
        </w:tc>
        <w:tc>
          <w:tcPr>
            <w:tcW w:w="3827" w:type="dxa"/>
          </w:tcPr>
          <w:p w14:paraId="4EB8CB20"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dostępności ze względu na brak interoperacyjności (uzależnienie od dostawcy, tzw. „vendor lock-in”): Jeżeli dostawca usługi w chmurze bazuje na zastrzeżonej technologii, dla klienta usługi może się okazać trudne przenoszenie danych i dokumentów między różnymi systemami opartymi na cloud computingu (możliwość przenoszenia danych) lub wymiana informacji z podmiotami korzystającymi z usług w chmurze zarządzanych przez innych dostawców (interoperacyjność).</w:t>
            </w:r>
          </w:p>
        </w:tc>
        <w:tc>
          <w:tcPr>
            <w:tcW w:w="851" w:type="dxa"/>
          </w:tcPr>
          <w:p w14:paraId="225570D4"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42D6459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31378945"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3A99DB62"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3B8204BC"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Wybrane zagadnienie ma zastosowanie w dwóch projektach Inicjatywy WIIP: Rządowej Chmury Obliczeniowej oraz Systemie Zapewniania Usług Chmurowych.</w:t>
            </w:r>
          </w:p>
          <w:p w14:paraId="05FC7ABD"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Rządowej Chmury Obliczeniowej ryzyko wystąpienia vendor loc-in zależy stricte od wymagań klienta usługi, czyli właściciela systemu i danych, które będą przetwarzane. Domyślnie usługi prywatnej chmury obliczeniowej będą oparte na technologiach open source. Jeżeli ze względów technicznych wymagane będzie zastosowanie rozwiązań dostawców komercyjnych decyzja w tym zakresie będzie należeć do klienta usługi.</w:t>
            </w:r>
          </w:p>
          <w:p w14:paraId="41FD615A"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dostawców usług chmury publicznej w ramach system ZUCH przewidziano wymaganie wprowadzenia usług migracji, które pozwalają na przeniesienie systemów i danych pomiędzy różnymi dostawcami.</w:t>
            </w:r>
          </w:p>
        </w:tc>
      </w:tr>
      <w:tr w:rsidR="00430256" w:rsidRPr="00430256" w14:paraId="4D11632E" w14:textId="77777777" w:rsidTr="00655E14">
        <w:tc>
          <w:tcPr>
            <w:tcW w:w="1271" w:type="dxa"/>
            <w:vMerge/>
          </w:tcPr>
          <w:p w14:paraId="1CC277E9"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6B7ED53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integralności spowodowany przez dzielenie się zasobami: Chmura składa się z współdzielonych systemów i </w:t>
            </w:r>
            <w:r w:rsidRPr="00430256">
              <w:rPr>
                <w:rFonts w:ascii="Times New Roman" w:hAnsi="Times New Roman" w:cs="Times New Roman"/>
              </w:rPr>
              <w:lastRenderedPageBreak/>
              <w:t>infrastruktur. Dostawcy usług w chmurze przetwarzają dane osobowe wywodzące się z szeregu licznych źródeł - osób, których dane dotyczą, i organizacji – i istnieje możliwość, że mogą powstać sprzeczne interesy i/lub różne cele.</w:t>
            </w:r>
          </w:p>
        </w:tc>
        <w:tc>
          <w:tcPr>
            <w:tcW w:w="851" w:type="dxa"/>
          </w:tcPr>
          <w:p w14:paraId="7BC6D2A8"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14:paraId="158C670D"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465A267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0B82FE7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3B692DDE"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Istotą przetwarzania danych w chmurze obliczeniowej zarówno przez akredytowanych dostawców komercyjnych, jak i operatora Rządowej Chmury Obliczeniowej jest ścisła </w:t>
            </w:r>
            <w:r w:rsidRPr="00430256">
              <w:rPr>
                <w:rFonts w:ascii="Times New Roman" w:hAnsi="Times New Roman" w:cs="Times New Roman"/>
              </w:rPr>
              <w:lastRenderedPageBreak/>
              <w:t>separacja danych i środowisk obliczeniowych (tenantów) pomiędzy klientami. Stosowane w tym celu technologie oraz zabezpieczenia kryptograficzne dają pewność integralności przetwarzanych danych, a dostawca usług nie ma technicznej możliwości uzyskania dostępu do wybranego tenantu oraz danych w nim przetwarzanych. Standaryzacja zakresu świadczonych usług nie pozostawia również możliwości wystąpienia konfliktu interesów, gdyż dostawca jest odpowiedzialny jedynie za realizację ustalonych w indywidualnych umowach parametrów technicznych świadczonej usługi.</w:t>
            </w:r>
          </w:p>
        </w:tc>
      </w:tr>
      <w:tr w:rsidR="00430256" w:rsidRPr="00430256" w14:paraId="5155C014" w14:textId="77777777" w:rsidTr="00655E14">
        <w:tc>
          <w:tcPr>
            <w:tcW w:w="1271" w:type="dxa"/>
            <w:vMerge/>
          </w:tcPr>
          <w:p w14:paraId="2F16CB21"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187B8EA7"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poufności w odniesieniu do wniosków z zakresu egzekwowania prawa składanych bezpośrednio do dostawcy usługi w chmurze: dane osobowe przetwarzane w chmurze mogą być przedmiotem wniosków z zakresu egzekwowania prawa pochodzących od organów egzekwowania prawa z państw członkowskich UE oraz krajów trzecich. Istnieje zagrożenie, że dane osobowe </w:t>
            </w:r>
            <w:r w:rsidRPr="00430256">
              <w:rPr>
                <w:rFonts w:ascii="Times New Roman" w:hAnsi="Times New Roman" w:cs="Times New Roman"/>
              </w:rPr>
              <w:lastRenderedPageBreak/>
              <w:t>mogłyby być ujawnione (zagranicznym) organom egzekwowania prawa bez ważnej podstawy prawnej UE i tym samym doszłoby do naruszenia prawa UE dotyczącego ochrony danych.</w:t>
            </w:r>
          </w:p>
        </w:tc>
        <w:tc>
          <w:tcPr>
            <w:tcW w:w="851" w:type="dxa"/>
          </w:tcPr>
          <w:p w14:paraId="571C5217"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14:paraId="748629BF"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59FC8C15"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4896D9AB"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5E295F5E"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Ze względu na charakter oraz właściwość świadczenia usług chmurowych dostawca ma bardzo ograniczony zakres działań wynikający z realizacji wniosków o udzielenie informacji przez osoby fizyczne lub prawne, w tym organy ścigania lub uprawnione służby.</w:t>
            </w:r>
          </w:p>
          <w:p w14:paraId="743C88B7"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Istotą świadczenia usług chmury obliczeniowej (IaaS, PaaS) ścisła separacja uprawnień dostawcy i klienta. Dostawca zapewnia utrzymanie warstwy fizycznej oraz platform aplikacyjnych, zaś klient samodzielnie tworzy i konfiguruje środowiska swoich systemów, zarządza danymi i sposobem </w:t>
            </w:r>
            <w:r w:rsidRPr="00430256">
              <w:rPr>
                <w:rFonts w:ascii="Times New Roman" w:hAnsi="Times New Roman" w:cs="Times New Roman"/>
              </w:rPr>
              <w:lastRenderedPageBreak/>
              <w:t>ich przetwarzania, w tym zabezpieczaniem przed nieuprawnionym dostępem osób trzecich. Z tego względu dostawca może jedynie udzielić na wniosek uprawnionych osób informacji o czasie i sposobie dostępu do usług które świadczy (dane o czasie, identyfikatorze logowania administracyjnego, adresacji IP klientów usług). Zastrzeżenia prawne z tego zakresu będą przedmiotem osobnych porozumień pomiędzy stronami.</w:t>
            </w:r>
          </w:p>
        </w:tc>
      </w:tr>
      <w:tr w:rsidR="00430256" w:rsidRPr="00430256" w14:paraId="73F76F62" w14:textId="77777777" w:rsidTr="00655E14">
        <w:tc>
          <w:tcPr>
            <w:tcW w:w="1271" w:type="dxa"/>
            <w:vMerge/>
          </w:tcPr>
          <w:p w14:paraId="61B692CF"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342AFD58"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możliwości interwencji ze względu na złożoność i dynamiczność łańcucha outsourcingu: Usługa w chmurze oferowana przez jednego dostawcę może być realizowana poprzez połączenie usług od szeregu innych dostawców, które mogą być dynamicznie dodawane lub usuwane w czasie trwania umowy klienta.</w:t>
            </w:r>
          </w:p>
        </w:tc>
        <w:tc>
          <w:tcPr>
            <w:tcW w:w="851" w:type="dxa"/>
          </w:tcPr>
          <w:p w14:paraId="7045F341"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46920018"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6A1A7FBE"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15A392DD"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3F45DEE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Ze względu na charakter i zakres usług przewidzianych do realizacji w ramach projektów wchodzących w zakres Inicjatywy WIIP nie przewiduje się złożonych i dynamicznych łańcuchów outsourcingu.</w:t>
            </w:r>
          </w:p>
          <w:p w14:paraId="76855414"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systemów (rejestrów publicznych), które przetwarzają dane osobowe, wymóg klasyfikacyjny (załącznik 2 do projektu uchwały) lokuje je w Rządowej Chmurze Obliczeniowej, która jest prywatną chmurą obliczeniową administracji publicznej, w której nie zachodzi zjawisko outsourcingu.</w:t>
            </w:r>
          </w:p>
        </w:tc>
      </w:tr>
      <w:tr w:rsidR="00430256" w:rsidRPr="00430256" w14:paraId="04423149" w14:textId="77777777" w:rsidTr="00655E14">
        <w:tc>
          <w:tcPr>
            <w:tcW w:w="1271" w:type="dxa"/>
            <w:vMerge/>
          </w:tcPr>
          <w:p w14:paraId="767906FF"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1C0E6358"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możliwości interwencji (prawa osób, których dane dotyczą): Dostawca usługi w chmurze może nie zapewnić </w:t>
            </w:r>
            <w:r w:rsidRPr="00430256">
              <w:rPr>
                <w:rFonts w:ascii="Times New Roman" w:hAnsi="Times New Roman" w:cs="Times New Roman"/>
              </w:rPr>
              <w:lastRenderedPageBreak/>
              <w:t>niezbędnych środków i narzędzi mających pomóc administratorowi zarządzać danymi np. w zakresie dostępu, usunięcia lub poprawienia danych.</w:t>
            </w:r>
          </w:p>
        </w:tc>
        <w:tc>
          <w:tcPr>
            <w:tcW w:w="851" w:type="dxa"/>
          </w:tcPr>
          <w:p w14:paraId="6F05E07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14:paraId="4F800EBD"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7EC251C8"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7FC85FC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450FA538"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Dostawca usług chmurowych udostępnia wszelkie narzędzia zarządzania administracyjnego klientom świadczonych przez niego usług. Klient usługi chmurowej ma wyłączne </w:t>
            </w:r>
            <w:r w:rsidRPr="00430256">
              <w:rPr>
                <w:rFonts w:ascii="Times New Roman" w:hAnsi="Times New Roman" w:cs="Times New Roman"/>
              </w:rPr>
              <w:lastRenderedPageBreak/>
              <w:t xml:space="preserve">uprawnienia do zarządzania danymi, w tym dostępu, usuwania lub poprawiania danych. Uprawnienia te mogą być przekazywane dalej uprawnionym użytkownikom, zaś odpowiedzialność za zarządzanie tym procesem leży po stronie klienta. </w:t>
            </w:r>
          </w:p>
        </w:tc>
      </w:tr>
      <w:tr w:rsidR="00430256" w:rsidRPr="00430256" w14:paraId="56D76417" w14:textId="77777777" w:rsidTr="00655E14">
        <w:tc>
          <w:tcPr>
            <w:tcW w:w="1271" w:type="dxa"/>
            <w:vMerge/>
          </w:tcPr>
          <w:p w14:paraId="7A696C1F"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3965E0B7"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odizolowania: Dostawca usługi w chmurze może wykorzystywać swoją fizyczną kontrolę nad danymi od różnych klientów w celu łączenia danych. Jeżeli dostawcy usługi administrujący przetwarzaniem mieliby wystarczające prawa uprzywilejowanego dostępu (role wysokiego ryzyka), mogliby łączyć informacje od różnych klientów (administratorów danych).</w:t>
            </w:r>
          </w:p>
        </w:tc>
        <w:tc>
          <w:tcPr>
            <w:tcW w:w="851" w:type="dxa"/>
          </w:tcPr>
          <w:p w14:paraId="146AA546"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5A532B45"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43AFE2C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4D9C285D"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7AC54E7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Obecny standard świadczenia usług przetwarzania w chmurach obliczeniowych, zwłaszcza stosowanie metod kryptograficznych, w których posiadaczem kluczy są klienci, nie pozwala na łączenie przetwarzanych danych. Możliwe jest wyłącznie prowadzenie analiz statystycznych w ograniczonym zakresie.</w:t>
            </w:r>
          </w:p>
          <w:p w14:paraId="7E607E3A"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Sposób konstrukcji systemu uprawnień i zarządzania dostępem nie daje administratorom dostawcy dostępu do przetwarzanych danych. </w:t>
            </w:r>
          </w:p>
        </w:tc>
      </w:tr>
      <w:tr w:rsidR="00430256" w:rsidRPr="00430256" w14:paraId="37B577DE" w14:textId="77777777" w:rsidTr="00655E14">
        <w:tc>
          <w:tcPr>
            <w:tcW w:w="1271" w:type="dxa"/>
            <w:vMerge w:val="restart"/>
          </w:tcPr>
          <w:p w14:paraId="2027AB4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informacji na temat przetwarzania </w:t>
            </w:r>
            <w:r w:rsidRPr="00430256">
              <w:rPr>
                <w:rFonts w:ascii="Times New Roman" w:hAnsi="Times New Roman" w:cs="Times New Roman"/>
              </w:rPr>
              <w:lastRenderedPageBreak/>
              <w:t>(przejrzystości)</w:t>
            </w:r>
          </w:p>
        </w:tc>
        <w:tc>
          <w:tcPr>
            <w:tcW w:w="3827" w:type="dxa"/>
          </w:tcPr>
          <w:p w14:paraId="2CE2DCB2"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lastRenderedPageBreak/>
              <w:t>W przetwarzanie zaangażowani są liczni przetwarzający i podprzetwarzający (łańcuch przetwarzania).</w:t>
            </w:r>
          </w:p>
        </w:tc>
        <w:tc>
          <w:tcPr>
            <w:tcW w:w="851" w:type="dxa"/>
          </w:tcPr>
          <w:p w14:paraId="163975F4"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356ECA96"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765EB82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2ACAA973"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3BD36423"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Ten aspekt nie ma zastosowania w przedmiotowym projekcie. W przypadku pojedynczej usługi chmurowej nie wystąpi łańcuch przetwarzania. W przypadku gdy klient korzystający z usługi będzie chciał korzystać z usług wielu dostawców do realizacji swojego projektu odpowiedzialność za integralność techniczną, logiczną i informacyjną </w:t>
            </w:r>
            <w:r w:rsidRPr="00430256">
              <w:rPr>
                <w:rFonts w:ascii="Times New Roman" w:hAnsi="Times New Roman" w:cs="Times New Roman"/>
              </w:rPr>
              <w:lastRenderedPageBreak/>
              <w:t>spoczywa po jego stronie. W takim wypadku klient usługi powinien przeprowadzić stosowną analizę ryzyka we własnym zakresie.</w:t>
            </w:r>
          </w:p>
        </w:tc>
      </w:tr>
      <w:tr w:rsidR="00430256" w:rsidRPr="00430256" w14:paraId="58E56533" w14:textId="77777777" w:rsidTr="00655E14">
        <w:tc>
          <w:tcPr>
            <w:tcW w:w="1271" w:type="dxa"/>
            <w:vMerge/>
          </w:tcPr>
          <w:p w14:paraId="47C461BB"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53E613DB"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Dane osobowe są przetwarzane w różnych lokalizacjach geograficznych w ramach EOG. Ma to bezpośredni wpływ na prawo właściwe dla wszelkich sporów z zakresu ochrony danych, które mogą wyniknąć między użytkownikiem a dostawcą.</w:t>
            </w:r>
          </w:p>
        </w:tc>
        <w:tc>
          <w:tcPr>
            <w:tcW w:w="851" w:type="dxa"/>
          </w:tcPr>
          <w:p w14:paraId="3C9498FE"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2BBE195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36DF3357"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2BC1597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3390E672"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rPr>
              <w:t>Aspekt ten dotyczy wyłącznie dostawców usług komercyjnych, posiadających centra przetwarzania danych na terenie EOG. Ponieważ jednym z wymagań w stosunku do tych dostawców będzie konieczność zapewnienia fizycznej infrastruktury przetwarzania na terenie Unii Europejskiej, gdzie kwestie prawa ochrony danych osobowych są harmonizowane na poziomie Komisji Europejskiej, kwestia ta nie ma dużego znaczenia. Dodatkowo standardowym elementem umów na świadczenie usług chmury obliczeniowej będzie wskazanie prawa miejscowego właściwego do rozstrzygania sporów w tym zakresie.</w:t>
            </w:r>
          </w:p>
        </w:tc>
      </w:tr>
      <w:tr w:rsidR="00430256" w:rsidRPr="00430256" w14:paraId="695E0D09" w14:textId="77777777" w:rsidTr="00655E14">
        <w:tc>
          <w:tcPr>
            <w:tcW w:w="1271" w:type="dxa"/>
            <w:vMerge/>
          </w:tcPr>
          <w:p w14:paraId="736841CC"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01B11B03"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Dane osobowe są przekazywane do krajów trzecich poza EOG. Kraje trzecie mogą nie zapewniać odpowiedniego poziomu ochrony danych, a operacje przekazywania mogą nie być zabezpieczone odpowiednimi środkami </w:t>
            </w:r>
            <w:r w:rsidRPr="00430256">
              <w:rPr>
                <w:rFonts w:ascii="Times New Roman" w:hAnsi="Times New Roman" w:cs="Times New Roman"/>
              </w:rPr>
              <w:lastRenderedPageBreak/>
              <w:t>(np. standardowe klauzule umowne lub wiążące reguły korporacyjne) i tym samym mogą być niezgodne z prawem.</w:t>
            </w:r>
          </w:p>
        </w:tc>
        <w:tc>
          <w:tcPr>
            <w:tcW w:w="851" w:type="dxa"/>
          </w:tcPr>
          <w:p w14:paraId="0265E4C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w:t>
            </w:r>
          </w:p>
        </w:tc>
        <w:tc>
          <w:tcPr>
            <w:tcW w:w="567" w:type="dxa"/>
          </w:tcPr>
          <w:p w14:paraId="1A06AA52"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567" w:type="dxa"/>
          </w:tcPr>
          <w:p w14:paraId="0CC0D837"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1417" w:type="dxa"/>
          </w:tcPr>
          <w:p w14:paraId="5D336C52"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5494" w:type="dxa"/>
          </w:tcPr>
          <w:p w14:paraId="18CF723B"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Ten aspekt nie ma zastosowania do przedmiotowego projektu. Wszystkie usługi chmurowe realizowane w ramach projektów Inicjatywy WIIP będą realizowane na terenie Polski lub krajów należących do EOG.</w:t>
            </w:r>
          </w:p>
        </w:tc>
      </w:tr>
      <w:bookmarkEnd w:id="49"/>
    </w:tbl>
    <w:p w14:paraId="5826F6AC" w14:textId="77777777" w:rsidR="00430256" w:rsidRPr="00430256" w:rsidRDefault="00430256" w:rsidP="00430256">
      <w:pPr>
        <w:spacing w:line="298" w:lineRule="auto"/>
        <w:jc w:val="both"/>
        <w:rPr>
          <w:rFonts w:ascii="Times New Roman" w:hAnsi="Times New Roman" w:cs="Times New Roman"/>
        </w:rPr>
        <w:sectPr w:rsidR="00430256" w:rsidRPr="00430256" w:rsidSect="004B5C9A">
          <w:pgSz w:w="16838" w:h="11906" w:orient="landscape"/>
          <w:pgMar w:top="1417" w:right="1417" w:bottom="1417" w:left="1417" w:header="708" w:footer="708" w:gutter="0"/>
          <w:cols w:space="708"/>
          <w:docGrid w:linePitch="360"/>
        </w:sectPr>
      </w:pPr>
    </w:p>
    <w:p w14:paraId="69D20D9B" w14:textId="77777777"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lastRenderedPageBreak/>
        <w:t>Podsumowując wyniki powyższej analizy ryzyka, przyjęte założenia realizacji projektów wchodzących w skład inicjatywy WIIP określają podział odpowiedzialności za realizację systemów informatycznych w oparciu o usługi przetwarzania w chmurze, w taki sposób, by zapewnić ścisłą separacje dostawy infrastruktury i platform systemowych i aplikacyjnych od procesu zarządzania systemami klienta oraz danymi przez nie przetwarzanymi. Odpowiedzialność za prawidłowe zabezpieczenie własnych systemów oraz przetwarzanych danych, w tym danych osobowych, spoczywać będzie na kliencie usług chmurowych. Dostawca zaś będzie odpowiadał za utrzymanie separacji logicznej środowisk obliczeniowych oraz wysoki poziom bezpieczeństwa kryptograficznego oraz integralności zbiorów.</w:t>
      </w:r>
    </w:p>
    <w:p w14:paraId="3A60ED71" w14:textId="77777777" w:rsidR="00617A76" w:rsidRPr="00655E14" w:rsidRDefault="00617A76" w:rsidP="00AE71F5">
      <w:pPr>
        <w:spacing w:after="0" w:line="360" w:lineRule="auto"/>
        <w:jc w:val="both"/>
        <w:rPr>
          <w:rFonts w:ascii="Times New Roman" w:eastAsia="Times New Roman" w:hAnsi="Times New Roman" w:cs="Times New Roman"/>
          <w:color w:val="000000"/>
          <w:sz w:val="24"/>
          <w:szCs w:val="24"/>
        </w:rPr>
      </w:pPr>
    </w:p>
    <w:sectPr w:rsidR="00617A76" w:rsidRPr="00655E1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C10DE" w16cid:durableId="20AB5FA4"/>
  <w16cid:commentId w16cid:paraId="3B49F2F1" w16cid:durableId="20AB645C"/>
  <w16cid:commentId w16cid:paraId="0D6D42E3" w16cid:durableId="20AB676A"/>
  <w16cid:commentId w16cid:paraId="3EA5B158" w16cid:durableId="20AB6A18"/>
  <w16cid:commentId w16cid:paraId="3359D0A7" w16cid:durableId="20AB6847"/>
  <w16cid:commentId w16cid:paraId="57C6839A" w16cid:durableId="20AB6F81"/>
  <w16cid:commentId w16cid:paraId="13E436F7" w16cid:durableId="20AB7246"/>
  <w16cid:commentId w16cid:paraId="43996E91" w16cid:durableId="20AB73BD"/>
  <w16cid:commentId w16cid:paraId="07A9921E" w16cid:durableId="20AB730A"/>
  <w16cid:commentId w16cid:paraId="137CBF41" w16cid:durableId="20AB7C29"/>
  <w16cid:commentId w16cid:paraId="5F9FF3EA" w16cid:durableId="20AB6C1F"/>
  <w16cid:commentId w16cid:paraId="2C4A61B3" w16cid:durableId="20AB6C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FCEB9" w14:textId="77777777" w:rsidR="004356E7" w:rsidRDefault="004356E7" w:rsidP="00CA1212">
      <w:pPr>
        <w:spacing w:after="0" w:line="240" w:lineRule="auto"/>
      </w:pPr>
      <w:r>
        <w:separator/>
      </w:r>
    </w:p>
  </w:endnote>
  <w:endnote w:type="continuationSeparator" w:id="0">
    <w:p w14:paraId="4E54E203" w14:textId="77777777" w:rsidR="004356E7" w:rsidRDefault="004356E7" w:rsidP="00CA1212">
      <w:pPr>
        <w:spacing w:after="0" w:line="240" w:lineRule="auto"/>
      </w:pPr>
      <w:r>
        <w:continuationSeparator/>
      </w:r>
    </w:p>
  </w:endnote>
  <w:endnote w:type="continuationNotice" w:id="1">
    <w:p w14:paraId="338CF5F6" w14:textId="77777777" w:rsidR="004356E7" w:rsidRDefault="004356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2A528" w14:textId="77777777" w:rsidR="004356E7" w:rsidRDefault="004356E7" w:rsidP="00CA1212">
      <w:pPr>
        <w:spacing w:after="0" w:line="240" w:lineRule="auto"/>
      </w:pPr>
      <w:r>
        <w:separator/>
      </w:r>
    </w:p>
  </w:footnote>
  <w:footnote w:type="continuationSeparator" w:id="0">
    <w:p w14:paraId="2E205160" w14:textId="77777777" w:rsidR="004356E7" w:rsidRDefault="004356E7" w:rsidP="00CA1212">
      <w:pPr>
        <w:spacing w:after="0" w:line="240" w:lineRule="auto"/>
      </w:pPr>
      <w:r>
        <w:continuationSeparator/>
      </w:r>
    </w:p>
  </w:footnote>
  <w:footnote w:type="continuationNotice" w:id="1">
    <w:p w14:paraId="7E2AC54A" w14:textId="77777777" w:rsidR="004356E7" w:rsidRDefault="004356E7">
      <w:pPr>
        <w:spacing w:after="0" w:line="240" w:lineRule="auto"/>
      </w:pPr>
    </w:p>
  </w:footnote>
  <w:footnote w:id="2">
    <w:p w14:paraId="267390F8" w14:textId="77777777" w:rsidR="004F5CA2" w:rsidRPr="006D0CF8" w:rsidRDefault="004F5CA2"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Oznaczenie w rubryce: „Brak możliwości skorzystania z usług chmurowych określonych w uchwale” nie oznacza, iż system ten </w:t>
      </w:r>
      <w:r>
        <w:rPr>
          <w:rFonts w:ascii="Times New Roman" w:hAnsi="Times New Roman" w:cs="Times New Roman"/>
        </w:rPr>
        <w:t xml:space="preserve">nie </w:t>
      </w:r>
      <w:r w:rsidRPr="006D0CF8">
        <w:rPr>
          <w:rFonts w:ascii="Times New Roman" w:hAnsi="Times New Roman" w:cs="Times New Roman"/>
        </w:rPr>
        <w:t>może być przetwarzany w innych zamkniętych środowiskach chmurowych</w:t>
      </w:r>
      <w:r>
        <w:rPr>
          <w:rFonts w:ascii="Times New Roman" w:hAnsi="Times New Roman" w:cs="Times New Roman"/>
        </w:rPr>
        <w:t>,</w:t>
      </w:r>
      <w:r w:rsidRPr="006D0CF8">
        <w:rPr>
          <w:rFonts w:ascii="Times New Roman" w:hAnsi="Times New Roman" w:cs="Times New Roman"/>
        </w:rPr>
        <w:t xml:space="preserve"> których działania regulują inne przepisy, pragmatyki lub któr</w:t>
      </w:r>
      <w:r>
        <w:rPr>
          <w:rFonts w:ascii="Times New Roman" w:hAnsi="Times New Roman" w:cs="Times New Roman"/>
        </w:rPr>
        <w:t>e</w:t>
      </w:r>
      <w:r w:rsidRPr="006D0CF8">
        <w:rPr>
          <w:rFonts w:ascii="Times New Roman" w:hAnsi="Times New Roman" w:cs="Times New Roman"/>
        </w:rPr>
        <w:t xml:space="preserve"> utworz</w:t>
      </w:r>
      <w:r>
        <w:rPr>
          <w:rFonts w:ascii="Times New Roman" w:hAnsi="Times New Roman" w:cs="Times New Roman"/>
        </w:rPr>
        <w:t>one</w:t>
      </w:r>
      <w:r w:rsidRPr="006D0CF8">
        <w:rPr>
          <w:rFonts w:ascii="Times New Roman" w:hAnsi="Times New Roman" w:cs="Times New Roman"/>
        </w:rPr>
        <w:t xml:space="preserve"> </w:t>
      </w:r>
      <w:r>
        <w:rPr>
          <w:rFonts w:ascii="Times New Roman" w:hAnsi="Times New Roman" w:cs="Times New Roman"/>
        </w:rPr>
        <w:t>zostały przez</w:t>
      </w:r>
      <w:r w:rsidRPr="006D0CF8">
        <w:rPr>
          <w:rFonts w:ascii="Times New Roman" w:hAnsi="Times New Roman" w:cs="Times New Roman"/>
        </w:rPr>
        <w:t xml:space="preserve"> uprawnion</w:t>
      </w:r>
      <w:r>
        <w:rPr>
          <w:rFonts w:ascii="Times New Roman" w:hAnsi="Times New Roman" w:cs="Times New Roman"/>
        </w:rPr>
        <w:t xml:space="preserve">e </w:t>
      </w:r>
      <w:r w:rsidRPr="006D0CF8">
        <w:rPr>
          <w:rFonts w:ascii="Times New Roman" w:hAnsi="Times New Roman" w:cs="Times New Roman"/>
        </w:rPr>
        <w:t>do tego organ</w:t>
      </w:r>
      <w:r>
        <w:rPr>
          <w:rFonts w:ascii="Times New Roman" w:hAnsi="Times New Roman" w:cs="Times New Roman"/>
        </w:rPr>
        <w:t>y</w:t>
      </w:r>
      <w:r w:rsidRPr="006D0CF8">
        <w:rPr>
          <w:rFonts w:ascii="Times New Roman" w:hAnsi="Times New Roman" w:cs="Times New Roman"/>
        </w:rPr>
        <w:t xml:space="preserve">. </w:t>
      </w:r>
    </w:p>
  </w:footnote>
  <w:footnote w:id="3">
    <w:p w14:paraId="3A8D32E4" w14:textId="77777777" w:rsidR="004F5CA2" w:rsidRPr="006D0CF8" w:rsidRDefault="004F5CA2"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pojęciem rejestru.</w:t>
      </w:r>
    </w:p>
  </w:footnote>
  <w:footnote w:id="4">
    <w:p w14:paraId="55E62287" w14:textId="77777777" w:rsidR="004F5CA2" w:rsidRPr="006D0CF8" w:rsidRDefault="004F5CA2"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pojęciem ewidencja.</w:t>
      </w:r>
    </w:p>
  </w:footnote>
  <w:footnote w:id="5">
    <w:p w14:paraId="78C77CBE" w14:textId="77777777" w:rsidR="004F5CA2" w:rsidRDefault="004F5CA2" w:rsidP="006D0CF8">
      <w:pPr>
        <w:pStyle w:val="Tekstprzypisudolnego"/>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dla oznaczenie systemu teleinformatycznego innymi pojęciami niż rejestr lub ewidencja</w:t>
      </w:r>
      <w:r>
        <w:rPr>
          <w:rFonts w:ascii="Times New Roman" w:hAnsi="Times New Roman" w:cs="Times New Roman"/>
        </w:rPr>
        <w:t>.</w:t>
      </w:r>
      <w:r>
        <w:t xml:space="preserve"> </w:t>
      </w:r>
    </w:p>
  </w:footnote>
  <w:footnote w:id="6">
    <w:p w14:paraId="18096DDA" w14:textId="77777777" w:rsidR="004F5CA2" w:rsidRPr="006D0CF8" w:rsidRDefault="004F5CA2" w:rsidP="006D0CF8">
      <w:pPr>
        <w:spacing w:after="0" w:line="240" w:lineRule="auto"/>
        <w:rPr>
          <w:rFonts w:ascii="Times New Roman" w:eastAsia="Times New Roman" w:hAnsi="Times New Roman" w:cs="Times New Roman"/>
          <w:sz w:val="20"/>
          <w:szCs w:val="20"/>
          <w:lang w:eastAsia="pl-PL"/>
        </w:rPr>
      </w:pPr>
      <w:r w:rsidRPr="006D0CF8">
        <w:rPr>
          <w:rStyle w:val="Odwoanieprzypisudolnego"/>
          <w:rFonts w:ascii="Times New Roman" w:hAnsi="Times New Roman" w:cs="Times New Roman"/>
          <w:sz w:val="24"/>
          <w:szCs w:val="24"/>
        </w:rPr>
        <w:footnoteRef/>
      </w:r>
      <w:r w:rsidRPr="006D0CF8">
        <w:rPr>
          <w:rFonts w:ascii="Times New Roman" w:hAnsi="Times New Roman" w:cs="Times New Roman"/>
          <w:sz w:val="24"/>
          <w:szCs w:val="24"/>
        </w:rPr>
        <w:t xml:space="preserve"> </w:t>
      </w:r>
      <w:r w:rsidRPr="006D0CF8">
        <w:rPr>
          <w:rFonts w:ascii="Times New Roman" w:hAnsi="Times New Roman" w:cs="Times New Roman"/>
          <w:sz w:val="20"/>
          <w:szCs w:val="20"/>
        </w:rPr>
        <w:t>Zgodnie z a</w:t>
      </w:r>
      <w:r w:rsidRPr="006D0CF8">
        <w:rPr>
          <w:rFonts w:ascii="Times New Roman" w:eastAsia="Times New Roman" w:hAnsi="Times New Roman" w:cs="Times New Roman"/>
          <w:sz w:val="20"/>
          <w:szCs w:val="20"/>
          <w:lang w:eastAsia="pl-PL"/>
        </w:rPr>
        <w:t xml:space="preserve">rt. 35 ustawy z dnia 24 maja 2002 r. o Agencji Bezpieczeństwa Wewnętrznego oraz Agencji Wywiadu </w:t>
      </w:r>
      <w:bookmarkStart w:id="42" w:name="mip46437738"/>
      <w:bookmarkEnd w:id="42"/>
      <w:r w:rsidRPr="006D0CF8">
        <w:rPr>
          <w:rFonts w:ascii="Times New Roman" w:eastAsia="Times New Roman" w:hAnsi="Times New Roman" w:cs="Times New Roman"/>
          <w:sz w:val="20"/>
          <w:szCs w:val="20"/>
          <w:lang w:eastAsia="pl-PL"/>
        </w:rPr>
        <w:t>w związku z wykonywaniem swoich zadań Agencje zapewniają ochronę środków, form i metod realizacji zadań, zgromadzonych informacji oraz własnych obiektów i danych identyfikujących funkcjonariuszy tych Agencji.</w:t>
      </w:r>
    </w:p>
    <w:p w14:paraId="3CC7FC2B" w14:textId="77777777" w:rsidR="004F5CA2" w:rsidRPr="00B465E1" w:rsidRDefault="004F5CA2" w:rsidP="006D0CF8">
      <w:pPr>
        <w:pStyle w:val="Tekstprzypisudolnego"/>
        <w:rPr>
          <w:rFonts w:cstheme="minorHAnsi"/>
          <w:sz w:val="24"/>
          <w:szCs w:val="24"/>
        </w:rPr>
      </w:pPr>
      <w:bookmarkStart w:id="43" w:name="mip46437739"/>
      <w:bookmarkEnd w:id="43"/>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72618"/>
    <w:multiLevelType w:val="hybridMultilevel"/>
    <w:tmpl w:val="81A2B8C6"/>
    <w:lvl w:ilvl="0" w:tplc="04150017">
      <w:start w:val="1"/>
      <w:numFmt w:val="lowerLetter"/>
      <w:lvlText w:val="%1)"/>
      <w:lvlJc w:val="left"/>
      <w:pPr>
        <w:ind w:left="1080" w:hanging="360"/>
      </w:pPr>
    </w:lvl>
    <w:lvl w:ilvl="1" w:tplc="D24685C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EA2877"/>
    <w:multiLevelType w:val="hybridMultilevel"/>
    <w:tmpl w:val="8AB6D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B0226"/>
    <w:multiLevelType w:val="hybridMultilevel"/>
    <w:tmpl w:val="524CA8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EA0E6F"/>
    <w:multiLevelType w:val="hybridMultilevel"/>
    <w:tmpl w:val="BAE8D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17EF9"/>
    <w:multiLevelType w:val="hybridMultilevel"/>
    <w:tmpl w:val="BA12C2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950163"/>
    <w:multiLevelType w:val="hybridMultilevel"/>
    <w:tmpl w:val="DADCD6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AF2297"/>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3D1853"/>
    <w:multiLevelType w:val="hybridMultilevel"/>
    <w:tmpl w:val="C3504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DA210E"/>
    <w:multiLevelType w:val="hybridMultilevel"/>
    <w:tmpl w:val="81A2B8C6"/>
    <w:lvl w:ilvl="0" w:tplc="04150017">
      <w:start w:val="1"/>
      <w:numFmt w:val="lowerLetter"/>
      <w:lvlText w:val="%1)"/>
      <w:lvlJc w:val="left"/>
      <w:pPr>
        <w:ind w:left="1080" w:hanging="360"/>
      </w:pPr>
    </w:lvl>
    <w:lvl w:ilvl="1" w:tplc="D24685C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E6D479C"/>
    <w:multiLevelType w:val="hybridMultilevel"/>
    <w:tmpl w:val="749E6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1D4D35"/>
    <w:multiLevelType w:val="hybridMultilevel"/>
    <w:tmpl w:val="21B20A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40019A"/>
    <w:multiLevelType w:val="hybridMultilevel"/>
    <w:tmpl w:val="71BE20D0"/>
    <w:lvl w:ilvl="0" w:tplc="04150011">
      <w:start w:val="1"/>
      <w:numFmt w:val="decimal"/>
      <w:lvlText w:val="%1)"/>
      <w:lvlJc w:val="left"/>
      <w:pPr>
        <w:ind w:left="720" w:hanging="360"/>
      </w:pPr>
    </w:lvl>
    <w:lvl w:ilvl="1" w:tplc="D24685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1B453A"/>
    <w:multiLevelType w:val="hybridMultilevel"/>
    <w:tmpl w:val="2C761B9C"/>
    <w:lvl w:ilvl="0" w:tplc="CB0408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4294139"/>
    <w:multiLevelType w:val="hybridMultilevel"/>
    <w:tmpl w:val="B00A1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8A217F"/>
    <w:multiLevelType w:val="hybridMultilevel"/>
    <w:tmpl w:val="3678F6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2181EBB"/>
    <w:multiLevelType w:val="hybridMultilevel"/>
    <w:tmpl w:val="67CA2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BD7D1A"/>
    <w:multiLevelType w:val="hybridMultilevel"/>
    <w:tmpl w:val="9954D1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E236B0"/>
    <w:multiLevelType w:val="hybridMultilevel"/>
    <w:tmpl w:val="5DB8B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9965D3"/>
    <w:multiLevelType w:val="hybridMultilevel"/>
    <w:tmpl w:val="240AE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602DC5"/>
    <w:multiLevelType w:val="hybridMultilevel"/>
    <w:tmpl w:val="4AD43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644C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AF5A84"/>
    <w:multiLevelType w:val="hybridMultilevel"/>
    <w:tmpl w:val="962A6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B126AC"/>
    <w:multiLevelType w:val="hybridMultilevel"/>
    <w:tmpl w:val="F45C19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995C95"/>
    <w:multiLevelType w:val="multilevel"/>
    <w:tmpl w:val="FF144C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5C1391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222FF"/>
    <w:multiLevelType w:val="hybridMultilevel"/>
    <w:tmpl w:val="F1749E78"/>
    <w:lvl w:ilvl="0" w:tplc="04150011">
      <w:start w:val="1"/>
      <w:numFmt w:val="decimal"/>
      <w:lvlText w:val="%1)"/>
      <w:lvlJc w:val="left"/>
      <w:pPr>
        <w:ind w:left="720" w:hanging="360"/>
      </w:pPr>
    </w:lvl>
    <w:lvl w:ilvl="1" w:tplc="D24685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857F4C"/>
    <w:multiLevelType w:val="hybridMultilevel"/>
    <w:tmpl w:val="DC3CA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1"/>
  </w:num>
  <w:num w:numId="8">
    <w:abstractNumId w:val="20"/>
  </w:num>
  <w:num w:numId="9">
    <w:abstractNumId w:val="9"/>
  </w:num>
  <w:num w:numId="10">
    <w:abstractNumId w:val="23"/>
  </w:num>
  <w:num w:numId="11">
    <w:abstractNumId w:val="14"/>
  </w:num>
  <w:num w:numId="12">
    <w:abstractNumId w:val="18"/>
  </w:num>
  <w:num w:numId="13">
    <w:abstractNumId w:val="19"/>
  </w:num>
  <w:num w:numId="14">
    <w:abstractNumId w:val="27"/>
  </w:num>
  <w:num w:numId="15">
    <w:abstractNumId w:val="3"/>
  </w:num>
  <w:num w:numId="16">
    <w:abstractNumId w:val="2"/>
  </w:num>
  <w:num w:numId="17">
    <w:abstractNumId w:val="5"/>
  </w:num>
  <w:num w:numId="18">
    <w:abstractNumId w:val="13"/>
  </w:num>
  <w:num w:numId="19">
    <w:abstractNumId w:val="22"/>
  </w:num>
  <w:num w:numId="20">
    <w:abstractNumId w:val="26"/>
  </w:num>
  <w:num w:numId="21">
    <w:abstractNumId w:val="11"/>
  </w:num>
  <w:num w:numId="22">
    <w:abstractNumId w:val="10"/>
  </w:num>
  <w:num w:numId="23">
    <w:abstractNumId w:val="17"/>
  </w:num>
  <w:num w:numId="24">
    <w:abstractNumId w:val="1"/>
  </w:num>
  <w:num w:numId="25">
    <w:abstractNumId w:val="16"/>
  </w:num>
  <w:num w:numId="26">
    <w:abstractNumId w:val="4"/>
  </w:num>
  <w:num w:numId="27">
    <w:abstractNumId w:val="7"/>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oNotDisplayPageBoundarie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207"/>
    <w:rsid w:val="0000303E"/>
    <w:rsid w:val="000043A0"/>
    <w:rsid w:val="000048C9"/>
    <w:rsid w:val="00005CD7"/>
    <w:rsid w:val="0000712E"/>
    <w:rsid w:val="00007161"/>
    <w:rsid w:val="00011790"/>
    <w:rsid w:val="00012BBE"/>
    <w:rsid w:val="000152B4"/>
    <w:rsid w:val="000169BC"/>
    <w:rsid w:val="00022750"/>
    <w:rsid w:val="000243F1"/>
    <w:rsid w:val="00024E8A"/>
    <w:rsid w:val="00026852"/>
    <w:rsid w:val="00030599"/>
    <w:rsid w:val="000336F2"/>
    <w:rsid w:val="000338D9"/>
    <w:rsid w:val="0003628E"/>
    <w:rsid w:val="00042946"/>
    <w:rsid w:val="00046080"/>
    <w:rsid w:val="0004608D"/>
    <w:rsid w:val="00051004"/>
    <w:rsid w:val="00052511"/>
    <w:rsid w:val="000530D7"/>
    <w:rsid w:val="00054712"/>
    <w:rsid w:val="00061202"/>
    <w:rsid w:val="00062FA7"/>
    <w:rsid w:val="000638B1"/>
    <w:rsid w:val="00065462"/>
    <w:rsid w:val="00065B26"/>
    <w:rsid w:val="000724F5"/>
    <w:rsid w:val="00074D75"/>
    <w:rsid w:val="000754B7"/>
    <w:rsid w:val="00075F40"/>
    <w:rsid w:val="0007757A"/>
    <w:rsid w:val="00081090"/>
    <w:rsid w:val="00081C86"/>
    <w:rsid w:val="00082246"/>
    <w:rsid w:val="000841EE"/>
    <w:rsid w:val="000916EC"/>
    <w:rsid w:val="00096E33"/>
    <w:rsid w:val="000970E0"/>
    <w:rsid w:val="000A3605"/>
    <w:rsid w:val="000A3661"/>
    <w:rsid w:val="000A6470"/>
    <w:rsid w:val="000A6C11"/>
    <w:rsid w:val="000A754F"/>
    <w:rsid w:val="000B01C5"/>
    <w:rsid w:val="000B701F"/>
    <w:rsid w:val="000B765C"/>
    <w:rsid w:val="000C034B"/>
    <w:rsid w:val="000C3E33"/>
    <w:rsid w:val="000C5E65"/>
    <w:rsid w:val="000C6161"/>
    <w:rsid w:val="000D1A49"/>
    <w:rsid w:val="000D327D"/>
    <w:rsid w:val="000D46E2"/>
    <w:rsid w:val="000D7109"/>
    <w:rsid w:val="000E060D"/>
    <w:rsid w:val="000E0C1C"/>
    <w:rsid w:val="000E6CDC"/>
    <w:rsid w:val="000F0037"/>
    <w:rsid w:val="000F0366"/>
    <w:rsid w:val="000F0411"/>
    <w:rsid w:val="000F154D"/>
    <w:rsid w:val="000F1905"/>
    <w:rsid w:val="000F5BE5"/>
    <w:rsid w:val="000F69F8"/>
    <w:rsid w:val="000F6F22"/>
    <w:rsid w:val="001039B7"/>
    <w:rsid w:val="00104D37"/>
    <w:rsid w:val="00112B61"/>
    <w:rsid w:val="00113BE9"/>
    <w:rsid w:val="00116EC0"/>
    <w:rsid w:val="001209AA"/>
    <w:rsid w:val="00124E79"/>
    <w:rsid w:val="0012515B"/>
    <w:rsid w:val="001274F5"/>
    <w:rsid w:val="001277F1"/>
    <w:rsid w:val="00132BE7"/>
    <w:rsid w:val="0013334C"/>
    <w:rsid w:val="001377A2"/>
    <w:rsid w:val="00140C9A"/>
    <w:rsid w:val="0015138D"/>
    <w:rsid w:val="0015400F"/>
    <w:rsid w:val="00157EBF"/>
    <w:rsid w:val="00160B2A"/>
    <w:rsid w:val="0017171D"/>
    <w:rsid w:val="00174001"/>
    <w:rsid w:val="00185960"/>
    <w:rsid w:val="00185C3C"/>
    <w:rsid w:val="001878A5"/>
    <w:rsid w:val="00190F34"/>
    <w:rsid w:val="00194027"/>
    <w:rsid w:val="0019504A"/>
    <w:rsid w:val="001979D4"/>
    <w:rsid w:val="001A0CAD"/>
    <w:rsid w:val="001A3F54"/>
    <w:rsid w:val="001A4ED2"/>
    <w:rsid w:val="001B11A1"/>
    <w:rsid w:val="001B1668"/>
    <w:rsid w:val="001B2973"/>
    <w:rsid w:val="001C11BF"/>
    <w:rsid w:val="001C5C9D"/>
    <w:rsid w:val="001D2B06"/>
    <w:rsid w:val="001D4341"/>
    <w:rsid w:val="001D5A88"/>
    <w:rsid w:val="001F0882"/>
    <w:rsid w:val="001F22CD"/>
    <w:rsid w:val="001F2F2D"/>
    <w:rsid w:val="0020127B"/>
    <w:rsid w:val="00205940"/>
    <w:rsid w:val="00206776"/>
    <w:rsid w:val="00210D76"/>
    <w:rsid w:val="00212AE1"/>
    <w:rsid w:val="00216269"/>
    <w:rsid w:val="00217893"/>
    <w:rsid w:val="00220B9B"/>
    <w:rsid w:val="002215AA"/>
    <w:rsid w:val="00221C89"/>
    <w:rsid w:val="00222B38"/>
    <w:rsid w:val="00222C0C"/>
    <w:rsid w:val="00223679"/>
    <w:rsid w:val="00226BB3"/>
    <w:rsid w:val="002270CF"/>
    <w:rsid w:val="00227225"/>
    <w:rsid w:val="002302C8"/>
    <w:rsid w:val="00231004"/>
    <w:rsid w:val="0023148B"/>
    <w:rsid w:val="002338F7"/>
    <w:rsid w:val="00234055"/>
    <w:rsid w:val="002349E0"/>
    <w:rsid w:val="00235902"/>
    <w:rsid w:val="0023784C"/>
    <w:rsid w:val="00237BBE"/>
    <w:rsid w:val="00240D91"/>
    <w:rsid w:val="00244ED4"/>
    <w:rsid w:val="00245D80"/>
    <w:rsid w:val="00252409"/>
    <w:rsid w:val="00253CF0"/>
    <w:rsid w:val="00254699"/>
    <w:rsid w:val="00263595"/>
    <w:rsid w:val="002635B2"/>
    <w:rsid w:val="002640CB"/>
    <w:rsid w:val="002646F6"/>
    <w:rsid w:val="00264E35"/>
    <w:rsid w:val="002726DC"/>
    <w:rsid w:val="00273D29"/>
    <w:rsid w:val="00275140"/>
    <w:rsid w:val="0027743E"/>
    <w:rsid w:val="002844E3"/>
    <w:rsid w:val="002855E6"/>
    <w:rsid w:val="0028640F"/>
    <w:rsid w:val="00290ED8"/>
    <w:rsid w:val="0029182B"/>
    <w:rsid w:val="002952C7"/>
    <w:rsid w:val="002955A2"/>
    <w:rsid w:val="00295A84"/>
    <w:rsid w:val="00295FBA"/>
    <w:rsid w:val="00297CC0"/>
    <w:rsid w:val="002A17C2"/>
    <w:rsid w:val="002A27D3"/>
    <w:rsid w:val="002A4148"/>
    <w:rsid w:val="002B09B1"/>
    <w:rsid w:val="002B2B31"/>
    <w:rsid w:val="002B4B31"/>
    <w:rsid w:val="002B5ED9"/>
    <w:rsid w:val="002B775E"/>
    <w:rsid w:val="002C2BF1"/>
    <w:rsid w:val="002C2DEF"/>
    <w:rsid w:val="002C428C"/>
    <w:rsid w:val="002C4496"/>
    <w:rsid w:val="002D1E51"/>
    <w:rsid w:val="002D236B"/>
    <w:rsid w:val="002D66BA"/>
    <w:rsid w:val="002D68E3"/>
    <w:rsid w:val="002E08D8"/>
    <w:rsid w:val="002E1791"/>
    <w:rsid w:val="002E1990"/>
    <w:rsid w:val="002E35A3"/>
    <w:rsid w:val="002F1E14"/>
    <w:rsid w:val="002F2544"/>
    <w:rsid w:val="002F6B0A"/>
    <w:rsid w:val="00310154"/>
    <w:rsid w:val="00312983"/>
    <w:rsid w:val="00314D33"/>
    <w:rsid w:val="003221C2"/>
    <w:rsid w:val="00323AA1"/>
    <w:rsid w:val="00327207"/>
    <w:rsid w:val="0033019C"/>
    <w:rsid w:val="0033064F"/>
    <w:rsid w:val="0033124F"/>
    <w:rsid w:val="003327C6"/>
    <w:rsid w:val="00334186"/>
    <w:rsid w:val="00335370"/>
    <w:rsid w:val="0033727D"/>
    <w:rsid w:val="003379B9"/>
    <w:rsid w:val="00337B41"/>
    <w:rsid w:val="00340097"/>
    <w:rsid w:val="00341758"/>
    <w:rsid w:val="00341A21"/>
    <w:rsid w:val="003428DA"/>
    <w:rsid w:val="003430EC"/>
    <w:rsid w:val="003451FD"/>
    <w:rsid w:val="00346232"/>
    <w:rsid w:val="0034632E"/>
    <w:rsid w:val="00347FD8"/>
    <w:rsid w:val="00351B24"/>
    <w:rsid w:val="00352965"/>
    <w:rsid w:val="0036399C"/>
    <w:rsid w:val="00364D40"/>
    <w:rsid w:val="003661D2"/>
    <w:rsid w:val="0036640F"/>
    <w:rsid w:val="0036691C"/>
    <w:rsid w:val="00366D7D"/>
    <w:rsid w:val="00370329"/>
    <w:rsid w:val="0037334F"/>
    <w:rsid w:val="00373D66"/>
    <w:rsid w:val="003879F4"/>
    <w:rsid w:val="0039267D"/>
    <w:rsid w:val="0039441A"/>
    <w:rsid w:val="00394FDE"/>
    <w:rsid w:val="00395CE7"/>
    <w:rsid w:val="003970C6"/>
    <w:rsid w:val="00397B6A"/>
    <w:rsid w:val="003A39B8"/>
    <w:rsid w:val="003A63FE"/>
    <w:rsid w:val="003B38D3"/>
    <w:rsid w:val="003B49C1"/>
    <w:rsid w:val="003B4BCE"/>
    <w:rsid w:val="003B67B6"/>
    <w:rsid w:val="003B764D"/>
    <w:rsid w:val="003B7683"/>
    <w:rsid w:val="003C3B1D"/>
    <w:rsid w:val="003D58C6"/>
    <w:rsid w:val="003D62FF"/>
    <w:rsid w:val="003D69BB"/>
    <w:rsid w:val="003E3466"/>
    <w:rsid w:val="003E347A"/>
    <w:rsid w:val="003E681C"/>
    <w:rsid w:val="003F0A27"/>
    <w:rsid w:val="003F1FDA"/>
    <w:rsid w:val="003F2B5D"/>
    <w:rsid w:val="003F2C6C"/>
    <w:rsid w:val="003F494F"/>
    <w:rsid w:val="003F61B9"/>
    <w:rsid w:val="003F722B"/>
    <w:rsid w:val="003F72E1"/>
    <w:rsid w:val="003F76B9"/>
    <w:rsid w:val="00402D3F"/>
    <w:rsid w:val="004033B9"/>
    <w:rsid w:val="00405260"/>
    <w:rsid w:val="00406CBD"/>
    <w:rsid w:val="0041349A"/>
    <w:rsid w:val="004141F8"/>
    <w:rsid w:val="00415C25"/>
    <w:rsid w:val="004215E0"/>
    <w:rsid w:val="004216E0"/>
    <w:rsid w:val="00422F6C"/>
    <w:rsid w:val="00424EBE"/>
    <w:rsid w:val="00425002"/>
    <w:rsid w:val="00426327"/>
    <w:rsid w:val="0042787C"/>
    <w:rsid w:val="00430256"/>
    <w:rsid w:val="00433BD9"/>
    <w:rsid w:val="00434090"/>
    <w:rsid w:val="0043467B"/>
    <w:rsid w:val="004356E7"/>
    <w:rsid w:val="00436901"/>
    <w:rsid w:val="0044178B"/>
    <w:rsid w:val="0044331B"/>
    <w:rsid w:val="004436D5"/>
    <w:rsid w:val="00443E82"/>
    <w:rsid w:val="004446CB"/>
    <w:rsid w:val="0044531F"/>
    <w:rsid w:val="00445A78"/>
    <w:rsid w:val="0044742C"/>
    <w:rsid w:val="00451C10"/>
    <w:rsid w:val="00452873"/>
    <w:rsid w:val="00457BC6"/>
    <w:rsid w:val="00461463"/>
    <w:rsid w:val="004615B6"/>
    <w:rsid w:val="00462AAC"/>
    <w:rsid w:val="00463361"/>
    <w:rsid w:val="00463965"/>
    <w:rsid w:val="00464DE3"/>
    <w:rsid w:val="004663FC"/>
    <w:rsid w:val="0046645B"/>
    <w:rsid w:val="004665AF"/>
    <w:rsid w:val="00466A9A"/>
    <w:rsid w:val="00467405"/>
    <w:rsid w:val="00471029"/>
    <w:rsid w:val="004749D4"/>
    <w:rsid w:val="00480BA2"/>
    <w:rsid w:val="00482863"/>
    <w:rsid w:val="0048379C"/>
    <w:rsid w:val="004849F7"/>
    <w:rsid w:val="00486ECA"/>
    <w:rsid w:val="004912E3"/>
    <w:rsid w:val="00491896"/>
    <w:rsid w:val="004943AA"/>
    <w:rsid w:val="004944D6"/>
    <w:rsid w:val="00496710"/>
    <w:rsid w:val="00496A30"/>
    <w:rsid w:val="004A043B"/>
    <w:rsid w:val="004A06BF"/>
    <w:rsid w:val="004A0ECC"/>
    <w:rsid w:val="004A159B"/>
    <w:rsid w:val="004A3A34"/>
    <w:rsid w:val="004A5194"/>
    <w:rsid w:val="004B2942"/>
    <w:rsid w:val="004B3344"/>
    <w:rsid w:val="004B5C9A"/>
    <w:rsid w:val="004B77EF"/>
    <w:rsid w:val="004C0C79"/>
    <w:rsid w:val="004C130B"/>
    <w:rsid w:val="004C2196"/>
    <w:rsid w:val="004C3D04"/>
    <w:rsid w:val="004C47A9"/>
    <w:rsid w:val="004C51EB"/>
    <w:rsid w:val="004C561E"/>
    <w:rsid w:val="004C6719"/>
    <w:rsid w:val="004D0597"/>
    <w:rsid w:val="004D13C4"/>
    <w:rsid w:val="004D78FC"/>
    <w:rsid w:val="004E0217"/>
    <w:rsid w:val="004E0371"/>
    <w:rsid w:val="004E176D"/>
    <w:rsid w:val="004E3387"/>
    <w:rsid w:val="004E63C5"/>
    <w:rsid w:val="004E66B9"/>
    <w:rsid w:val="004E685E"/>
    <w:rsid w:val="004E7CCC"/>
    <w:rsid w:val="004F4525"/>
    <w:rsid w:val="004F58C9"/>
    <w:rsid w:val="004F5CA2"/>
    <w:rsid w:val="004F6B68"/>
    <w:rsid w:val="00500907"/>
    <w:rsid w:val="00504CD8"/>
    <w:rsid w:val="0050692C"/>
    <w:rsid w:val="0050780C"/>
    <w:rsid w:val="005110D8"/>
    <w:rsid w:val="00511EEE"/>
    <w:rsid w:val="00513C8F"/>
    <w:rsid w:val="005160F7"/>
    <w:rsid w:val="005213EB"/>
    <w:rsid w:val="00524489"/>
    <w:rsid w:val="00531AB4"/>
    <w:rsid w:val="00531CE2"/>
    <w:rsid w:val="00533E09"/>
    <w:rsid w:val="00537598"/>
    <w:rsid w:val="00537CEC"/>
    <w:rsid w:val="00540DD9"/>
    <w:rsid w:val="00541D91"/>
    <w:rsid w:val="005432E8"/>
    <w:rsid w:val="00543703"/>
    <w:rsid w:val="005439F4"/>
    <w:rsid w:val="00543F18"/>
    <w:rsid w:val="005542A5"/>
    <w:rsid w:val="00555C9A"/>
    <w:rsid w:val="005629DE"/>
    <w:rsid w:val="00563D32"/>
    <w:rsid w:val="00564910"/>
    <w:rsid w:val="0056692E"/>
    <w:rsid w:val="00566DF6"/>
    <w:rsid w:val="00571989"/>
    <w:rsid w:val="00571AC8"/>
    <w:rsid w:val="00573857"/>
    <w:rsid w:val="00573B7C"/>
    <w:rsid w:val="00581BD0"/>
    <w:rsid w:val="00586412"/>
    <w:rsid w:val="00587719"/>
    <w:rsid w:val="005900AD"/>
    <w:rsid w:val="005930FA"/>
    <w:rsid w:val="00597537"/>
    <w:rsid w:val="005B10D4"/>
    <w:rsid w:val="005B25CB"/>
    <w:rsid w:val="005B2BEF"/>
    <w:rsid w:val="005B32DB"/>
    <w:rsid w:val="005B392B"/>
    <w:rsid w:val="005C0E80"/>
    <w:rsid w:val="005C2CA6"/>
    <w:rsid w:val="005D0B35"/>
    <w:rsid w:val="005D24FE"/>
    <w:rsid w:val="005D3190"/>
    <w:rsid w:val="005D4DDA"/>
    <w:rsid w:val="005D52D9"/>
    <w:rsid w:val="005D5A73"/>
    <w:rsid w:val="005D73D1"/>
    <w:rsid w:val="005E370F"/>
    <w:rsid w:val="005F1131"/>
    <w:rsid w:val="005F268B"/>
    <w:rsid w:val="00600265"/>
    <w:rsid w:val="00602B62"/>
    <w:rsid w:val="006033FF"/>
    <w:rsid w:val="00611ACC"/>
    <w:rsid w:val="00615EF0"/>
    <w:rsid w:val="00617250"/>
    <w:rsid w:val="00617A76"/>
    <w:rsid w:val="00623570"/>
    <w:rsid w:val="00623A14"/>
    <w:rsid w:val="00624017"/>
    <w:rsid w:val="00624534"/>
    <w:rsid w:val="00625520"/>
    <w:rsid w:val="006268D0"/>
    <w:rsid w:val="00630155"/>
    <w:rsid w:val="006330C4"/>
    <w:rsid w:val="006379A5"/>
    <w:rsid w:val="006404DE"/>
    <w:rsid w:val="00641C20"/>
    <w:rsid w:val="00647CC1"/>
    <w:rsid w:val="0065064C"/>
    <w:rsid w:val="00655E14"/>
    <w:rsid w:val="0065687B"/>
    <w:rsid w:val="00656E6E"/>
    <w:rsid w:val="0065742E"/>
    <w:rsid w:val="006616D9"/>
    <w:rsid w:val="00662E18"/>
    <w:rsid w:val="00663F94"/>
    <w:rsid w:val="00664CD0"/>
    <w:rsid w:val="00666A5E"/>
    <w:rsid w:val="00670806"/>
    <w:rsid w:val="0067357A"/>
    <w:rsid w:val="0067701F"/>
    <w:rsid w:val="0068137E"/>
    <w:rsid w:val="006836E8"/>
    <w:rsid w:val="006A393B"/>
    <w:rsid w:val="006A57FF"/>
    <w:rsid w:val="006A6645"/>
    <w:rsid w:val="006A6EEB"/>
    <w:rsid w:val="006B0377"/>
    <w:rsid w:val="006C254E"/>
    <w:rsid w:val="006C5B8C"/>
    <w:rsid w:val="006D0CF8"/>
    <w:rsid w:val="006D2D1D"/>
    <w:rsid w:val="006D366F"/>
    <w:rsid w:val="006D3AAF"/>
    <w:rsid w:val="006D5ACC"/>
    <w:rsid w:val="006D5C0C"/>
    <w:rsid w:val="006E0F8C"/>
    <w:rsid w:val="006E1E7F"/>
    <w:rsid w:val="006E368D"/>
    <w:rsid w:val="006E6322"/>
    <w:rsid w:val="006F39CB"/>
    <w:rsid w:val="006F4BE8"/>
    <w:rsid w:val="00700703"/>
    <w:rsid w:val="00701A87"/>
    <w:rsid w:val="0070218E"/>
    <w:rsid w:val="0071015A"/>
    <w:rsid w:val="00710D2A"/>
    <w:rsid w:val="007135AC"/>
    <w:rsid w:val="00713991"/>
    <w:rsid w:val="007141AB"/>
    <w:rsid w:val="00723CE0"/>
    <w:rsid w:val="0072620D"/>
    <w:rsid w:val="00740E9F"/>
    <w:rsid w:val="00742BD1"/>
    <w:rsid w:val="00750BA3"/>
    <w:rsid w:val="00752C09"/>
    <w:rsid w:val="0075432D"/>
    <w:rsid w:val="00754712"/>
    <w:rsid w:val="00754953"/>
    <w:rsid w:val="00756CA7"/>
    <w:rsid w:val="00760E39"/>
    <w:rsid w:val="00761BBB"/>
    <w:rsid w:val="00764716"/>
    <w:rsid w:val="007704F7"/>
    <w:rsid w:val="00770B60"/>
    <w:rsid w:val="007727E9"/>
    <w:rsid w:val="00772A38"/>
    <w:rsid w:val="00774C4C"/>
    <w:rsid w:val="00775530"/>
    <w:rsid w:val="00783B3C"/>
    <w:rsid w:val="007850D4"/>
    <w:rsid w:val="00785892"/>
    <w:rsid w:val="00786883"/>
    <w:rsid w:val="00790551"/>
    <w:rsid w:val="007922E4"/>
    <w:rsid w:val="007966EE"/>
    <w:rsid w:val="007B17BB"/>
    <w:rsid w:val="007B2491"/>
    <w:rsid w:val="007B6133"/>
    <w:rsid w:val="007C194A"/>
    <w:rsid w:val="007C40E3"/>
    <w:rsid w:val="007C6880"/>
    <w:rsid w:val="007D1712"/>
    <w:rsid w:val="007D2794"/>
    <w:rsid w:val="007E328E"/>
    <w:rsid w:val="007E3461"/>
    <w:rsid w:val="007E6AF7"/>
    <w:rsid w:val="007E7317"/>
    <w:rsid w:val="007F0407"/>
    <w:rsid w:val="007F0D8B"/>
    <w:rsid w:val="007F2627"/>
    <w:rsid w:val="007F2A93"/>
    <w:rsid w:val="007F694D"/>
    <w:rsid w:val="007F7583"/>
    <w:rsid w:val="00803AAD"/>
    <w:rsid w:val="0080498A"/>
    <w:rsid w:val="00804D96"/>
    <w:rsid w:val="00804EDF"/>
    <w:rsid w:val="00806592"/>
    <w:rsid w:val="00807DDD"/>
    <w:rsid w:val="008120A8"/>
    <w:rsid w:val="0081454E"/>
    <w:rsid w:val="00814F47"/>
    <w:rsid w:val="00815757"/>
    <w:rsid w:val="00817DB7"/>
    <w:rsid w:val="00820967"/>
    <w:rsid w:val="00820EE5"/>
    <w:rsid w:val="00821030"/>
    <w:rsid w:val="0082129B"/>
    <w:rsid w:val="00821B47"/>
    <w:rsid w:val="00821C94"/>
    <w:rsid w:val="00822662"/>
    <w:rsid w:val="008234D7"/>
    <w:rsid w:val="00824045"/>
    <w:rsid w:val="00827CBB"/>
    <w:rsid w:val="00833045"/>
    <w:rsid w:val="00834BFD"/>
    <w:rsid w:val="008355C3"/>
    <w:rsid w:val="00837BAF"/>
    <w:rsid w:val="00840D4A"/>
    <w:rsid w:val="00841776"/>
    <w:rsid w:val="00847B99"/>
    <w:rsid w:val="008500B8"/>
    <w:rsid w:val="00855A3A"/>
    <w:rsid w:val="00857E8B"/>
    <w:rsid w:val="00862C05"/>
    <w:rsid w:val="00863A3E"/>
    <w:rsid w:val="00870E5C"/>
    <w:rsid w:val="00882C72"/>
    <w:rsid w:val="00885DB9"/>
    <w:rsid w:val="00887CBC"/>
    <w:rsid w:val="00890F7F"/>
    <w:rsid w:val="008944FF"/>
    <w:rsid w:val="008A3DD7"/>
    <w:rsid w:val="008A51A5"/>
    <w:rsid w:val="008A7164"/>
    <w:rsid w:val="008C0734"/>
    <w:rsid w:val="008C3A51"/>
    <w:rsid w:val="008C5992"/>
    <w:rsid w:val="008C5F57"/>
    <w:rsid w:val="008C63FA"/>
    <w:rsid w:val="008C6EF0"/>
    <w:rsid w:val="008D16B7"/>
    <w:rsid w:val="008D3EA4"/>
    <w:rsid w:val="008D5E25"/>
    <w:rsid w:val="008D720A"/>
    <w:rsid w:val="008D77F9"/>
    <w:rsid w:val="008E09B4"/>
    <w:rsid w:val="008E406D"/>
    <w:rsid w:val="008E7601"/>
    <w:rsid w:val="008E7BEA"/>
    <w:rsid w:val="008F276C"/>
    <w:rsid w:val="008F2E4F"/>
    <w:rsid w:val="00901249"/>
    <w:rsid w:val="00902C91"/>
    <w:rsid w:val="009037F4"/>
    <w:rsid w:val="00904D28"/>
    <w:rsid w:val="00910540"/>
    <w:rsid w:val="00910F29"/>
    <w:rsid w:val="00913F68"/>
    <w:rsid w:val="009141AF"/>
    <w:rsid w:val="00917458"/>
    <w:rsid w:val="00920317"/>
    <w:rsid w:val="0092141B"/>
    <w:rsid w:val="00921721"/>
    <w:rsid w:val="009225FB"/>
    <w:rsid w:val="0092276E"/>
    <w:rsid w:val="009231A9"/>
    <w:rsid w:val="009236D6"/>
    <w:rsid w:val="0092604A"/>
    <w:rsid w:val="00927A43"/>
    <w:rsid w:val="00927EAE"/>
    <w:rsid w:val="009325D6"/>
    <w:rsid w:val="009338BB"/>
    <w:rsid w:val="00933A88"/>
    <w:rsid w:val="00941ECC"/>
    <w:rsid w:val="00944A90"/>
    <w:rsid w:val="009506B6"/>
    <w:rsid w:val="00951BA8"/>
    <w:rsid w:val="00954829"/>
    <w:rsid w:val="00960797"/>
    <w:rsid w:val="00960B9E"/>
    <w:rsid w:val="0096691E"/>
    <w:rsid w:val="00966CFF"/>
    <w:rsid w:val="00971BDA"/>
    <w:rsid w:val="00972E42"/>
    <w:rsid w:val="00974D24"/>
    <w:rsid w:val="009772AF"/>
    <w:rsid w:val="00981080"/>
    <w:rsid w:val="00982E89"/>
    <w:rsid w:val="0098391E"/>
    <w:rsid w:val="009851B3"/>
    <w:rsid w:val="0098627A"/>
    <w:rsid w:val="00990A56"/>
    <w:rsid w:val="00991CDC"/>
    <w:rsid w:val="00992950"/>
    <w:rsid w:val="0099472A"/>
    <w:rsid w:val="00995950"/>
    <w:rsid w:val="009A4B7D"/>
    <w:rsid w:val="009A6928"/>
    <w:rsid w:val="009A7B03"/>
    <w:rsid w:val="009B480C"/>
    <w:rsid w:val="009B50B8"/>
    <w:rsid w:val="009C2624"/>
    <w:rsid w:val="009C4F79"/>
    <w:rsid w:val="009C5CCA"/>
    <w:rsid w:val="009C7DDC"/>
    <w:rsid w:val="009D195D"/>
    <w:rsid w:val="009D3F6C"/>
    <w:rsid w:val="009D6CC7"/>
    <w:rsid w:val="009E1521"/>
    <w:rsid w:val="009E5C63"/>
    <w:rsid w:val="009E71B2"/>
    <w:rsid w:val="009F10A5"/>
    <w:rsid w:val="009F2E0E"/>
    <w:rsid w:val="009F41DD"/>
    <w:rsid w:val="009F515D"/>
    <w:rsid w:val="00A04AA9"/>
    <w:rsid w:val="00A11194"/>
    <w:rsid w:val="00A11D8D"/>
    <w:rsid w:val="00A11FCF"/>
    <w:rsid w:val="00A12EB1"/>
    <w:rsid w:val="00A1379E"/>
    <w:rsid w:val="00A13DCA"/>
    <w:rsid w:val="00A15FD6"/>
    <w:rsid w:val="00A16DDF"/>
    <w:rsid w:val="00A21E5B"/>
    <w:rsid w:val="00A2217D"/>
    <w:rsid w:val="00A22834"/>
    <w:rsid w:val="00A37656"/>
    <w:rsid w:val="00A42636"/>
    <w:rsid w:val="00A4510C"/>
    <w:rsid w:val="00A46FE1"/>
    <w:rsid w:val="00A47BE0"/>
    <w:rsid w:val="00A47F31"/>
    <w:rsid w:val="00A5019A"/>
    <w:rsid w:val="00A5031C"/>
    <w:rsid w:val="00A529E0"/>
    <w:rsid w:val="00A53FF7"/>
    <w:rsid w:val="00A5743A"/>
    <w:rsid w:val="00A65C60"/>
    <w:rsid w:val="00A65DAB"/>
    <w:rsid w:val="00A66996"/>
    <w:rsid w:val="00A72541"/>
    <w:rsid w:val="00A7341F"/>
    <w:rsid w:val="00A772AA"/>
    <w:rsid w:val="00A82705"/>
    <w:rsid w:val="00A82EE2"/>
    <w:rsid w:val="00A83C39"/>
    <w:rsid w:val="00A866BB"/>
    <w:rsid w:val="00A906F1"/>
    <w:rsid w:val="00A9538B"/>
    <w:rsid w:val="00AA09C7"/>
    <w:rsid w:val="00AA2172"/>
    <w:rsid w:val="00AA3246"/>
    <w:rsid w:val="00AA64E7"/>
    <w:rsid w:val="00AB1C9B"/>
    <w:rsid w:val="00AB2C74"/>
    <w:rsid w:val="00AB346C"/>
    <w:rsid w:val="00AB3BC8"/>
    <w:rsid w:val="00AB3D9A"/>
    <w:rsid w:val="00AB3EB2"/>
    <w:rsid w:val="00AB481C"/>
    <w:rsid w:val="00AB53C0"/>
    <w:rsid w:val="00AB5913"/>
    <w:rsid w:val="00AB7AF5"/>
    <w:rsid w:val="00AC040A"/>
    <w:rsid w:val="00AC3932"/>
    <w:rsid w:val="00AC5ADF"/>
    <w:rsid w:val="00AC7841"/>
    <w:rsid w:val="00AD0E78"/>
    <w:rsid w:val="00AE71F5"/>
    <w:rsid w:val="00AF00D7"/>
    <w:rsid w:val="00AF013B"/>
    <w:rsid w:val="00AF355F"/>
    <w:rsid w:val="00AF4019"/>
    <w:rsid w:val="00AF77DC"/>
    <w:rsid w:val="00B01202"/>
    <w:rsid w:val="00B034B3"/>
    <w:rsid w:val="00B03D07"/>
    <w:rsid w:val="00B06240"/>
    <w:rsid w:val="00B06282"/>
    <w:rsid w:val="00B10E3B"/>
    <w:rsid w:val="00B122E3"/>
    <w:rsid w:val="00B12707"/>
    <w:rsid w:val="00B14007"/>
    <w:rsid w:val="00B14521"/>
    <w:rsid w:val="00B14F06"/>
    <w:rsid w:val="00B15C96"/>
    <w:rsid w:val="00B15EA1"/>
    <w:rsid w:val="00B221B3"/>
    <w:rsid w:val="00B23985"/>
    <w:rsid w:val="00B25E4F"/>
    <w:rsid w:val="00B34509"/>
    <w:rsid w:val="00B40445"/>
    <w:rsid w:val="00B41DD4"/>
    <w:rsid w:val="00B42D53"/>
    <w:rsid w:val="00B44E46"/>
    <w:rsid w:val="00B45A52"/>
    <w:rsid w:val="00B45DA3"/>
    <w:rsid w:val="00B460D2"/>
    <w:rsid w:val="00B467C2"/>
    <w:rsid w:val="00B4704D"/>
    <w:rsid w:val="00B471EE"/>
    <w:rsid w:val="00B47B51"/>
    <w:rsid w:val="00B603A9"/>
    <w:rsid w:val="00B6062A"/>
    <w:rsid w:val="00B62363"/>
    <w:rsid w:val="00B62636"/>
    <w:rsid w:val="00B62E66"/>
    <w:rsid w:val="00B679D8"/>
    <w:rsid w:val="00B72232"/>
    <w:rsid w:val="00B754B5"/>
    <w:rsid w:val="00B773B9"/>
    <w:rsid w:val="00B80E66"/>
    <w:rsid w:val="00B80EF5"/>
    <w:rsid w:val="00B82F4E"/>
    <w:rsid w:val="00B848B2"/>
    <w:rsid w:val="00B90538"/>
    <w:rsid w:val="00B928AB"/>
    <w:rsid w:val="00B94061"/>
    <w:rsid w:val="00B94399"/>
    <w:rsid w:val="00BA162E"/>
    <w:rsid w:val="00BA2F1A"/>
    <w:rsid w:val="00BB0269"/>
    <w:rsid w:val="00BB588F"/>
    <w:rsid w:val="00BB6AF3"/>
    <w:rsid w:val="00BC11B7"/>
    <w:rsid w:val="00BC2AE5"/>
    <w:rsid w:val="00BC5A67"/>
    <w:rsid w:val="00BC5AB8"/>
    <w:rsid w:val="00BC7788"/>
    <w:rsid w:val="00BD0612"/>
    <w:rsid w:val="00BD1271"/>
    <w:rsid w:val="00BD65F5"/>
    <w:rsid w:val="00BD67CE"/>
    <w:rsid w:val="00BD70A4"/>
    <w:rsid w:val="00BE0FDF"/>
    <w:rsid w:val="00BE2587"/>
    <w:rsid w:val="00BE54C2"/>
    <w:rsid w:val="00BE7A98"/>
    <w:rsid w:val="00BF035F"/>
    <w:rsid w:val="00BF21F2"/>
    <w:rsid w:val="00BF3858"/>
    <w:rsid w:val="00BF4B19"/>
    <w:rsid w:val="00BF4B6A"/>
    <w:rsid w:val="00BF66A5"/>
    <w:rsid w:val="00BF6914"/>
    <w:rsid w:val="00C02795"/>
    <w:rsid w:val="00C078FB"/>
    <w:rsid w:val="00C16A8E"/>
    <w:rsid w:val="00C20A65"/>
    <w:rsid w:val="00C2774D"/>
    <w:rsid w:val="00C31E9A"/>
    <w:rsid w:val="00C36EF1"/>
    <w:rsid w:val="00C400D1"/>
    <w:rsid w:val="00C42CC3"/>
    <w:rsid w:val="00C44AC3"/>
    <w:rsid w:val="00C45938"/>
    <w:rsid w:val="00C500E1"/>
    <w:rsid w:val="00C531BC"/>
    <w:rsid w:val="00C54612"/>
    <w:rsid w:val="00C568A2"/>
    <w:rsid w:val="00C5772A"/>
    <w:rsid w:val="00C61128"/>
    <w:rsid w:val="00C6158D"/>
    <w:rsid w:val="00C7117C"/>
    <w:rsid w:val="00C72F78"/>
    <w:rsid w:val="00C7425B"/>
    <w:rsid w:val="00C74A01"/>
    <w:rsid w:val="00C770FE"/>
    <w:rsid w:val="00C814C1"/>
    <w:rsid w:val="00C8590F"/>
    <w:rsid w:val="00C9340E"/>
    <w:rsid w:val="00C947C9"/>
    <w:rsid w:val="00C94FC1"/>
    <w:rsid w:val="00C95B85"/>
    <w:rsid w:val="00C962A8"/>
    <w:rsid w:val="00CA1212"/>
    <w:rsid w:val="00CA2277"/>
    <w:rsid w:val="00CA4F53"/>
    <w:rsid w:val="00CA66E6"/>
    <w:rsid w:val="00CA709D"/>
    <w:rsid w:val="00CB1C97"/>
    <w:rsid w:val="00CB2490"/>
    <w:rsid w:val="00CB3C16"/>
    <w:rsid w:val="00CB6D6D"/>
    <w:rsid w:val="00CC4271"/>
    <w:rsid w:val="00CC7199"/>
    <w:rsid w:val="00CC7674"/>
    <w:rsid w:val="00CD19CC"/>
    <w:rsid w:val="00CD41E9"/>
    <w:rsid w:val="00CD4FCC"/>
    <w:rsid w:val="00CD5891"/>
    <w:rsid w:val="00CE271A"/>
    <w:rsid w:val="00CE5ED1"/>
    <w:rsid w:val="00CF1EDB"/>
    <w:rsid w:val="00D0076C"/>
    <w:rsid w:val="00D01409"/>
    <w:rsid w:val="00D01F1B"/>
    <w:rsid w:val="00D05EB8"/>
    <w:rsid w:val="00D07553"/>
    <w:rsid w:val="00D102A5"/>
    <w:rsid w:val="00D12D1B"/>
    <w:rsid w:val="00D15970"/>
    <w:rsid w:val="00D2421F"/>
    <w:rsid w:val="00D251A9"/>
    <w:rsid w:val="00D26EEA"/>
    <w:rsid w:val="00D35420"/>
    <w:rsid w:val="00D405AA"/>
    <w:rsid w:val="00D40B8C"/>
    <w:rsid w:val="00D41937"/>
    <w:rsid w:val="00D41AC7"/>
    <w:rsid w:val="00D463AD"/>
    <w:rsid w:val="00D46F9A"/>
    <w:rsid w:val="00D477A7"/>
    <w:rsid w:val="00D524F9"/>
    <w:rsid w:val="00D5450E"/>
    <w:rsid w:val="00D548B3"/>
    <w:rsid w:val="00D548E5"/>
    <w:rsid w:val="00D60BBE"/>
    <w:rsid w:val="00D618EF"/>
    <w:rsid w:val="00D64A1B"/>
    <w:rsid w:val="00D66A20"/>
    <w:rsid w:val="00D67581"/>
    <w:rsid w:val="00D736B8"/>
    <w:rsid w:val="00D73B53"/>
    <w:rsid w:val="00D76C8C"/>
    <w:rsid w:val="00D82F1A"/>
    <w:rsid w:val="00D83F84"/>
    <w:rsid w:val="00D92205"/>
    <w:rsid w:val="00D9299D"/>
    <w:rsid w:val="00D943D9"/>
    <w:rsid w:val="00D94B7C"/>
    <w:rsid w:val="00DA0BC4"/>
    <w:rsid w:val="00DA25E4"/>
    <w:rsid w:val="00DA266E"/>
    <w:rsid w:val="00DA60BA"/>
    <w:rsid w:val="00DA6FB4"/>
    <w:rsid w:val="00DB1762"/>
    <w:rsid w:val="00DB4DAB"/>
    <w:rsid w:val="00DB516A"/>
    <w:rsid w:val="00DB5888"/>
    <w:rsid w:val="00DC1F7F"/>
    <w:rsid w:val="00DC323A"/>
    <w:rsid w:val="00DC72C5"/>
    <w:rsid w:val="00DC7841"/>
    <w:rsid w:val="00DD34DA"/>
    <w:rsid w:val="00DD7CF1"/>
    <w:rsid w:val="00DE0FDF"/>
    <w:rsid w:val="00DE369C"/>
    <w:rsid w:val="00DE48FD"/>
    <w:rsid w:val="00DE4BD3"/>
    <w:rsid w:val="00DE7B09"/>
    <w:rsid w:val="00DF3DEE"/>
    <w:rsid w:val="00E00787"/>
    <w:rsid w:val="00E00C39"/>
    <w:rsid w:val="00E01D59"/>
    <w:rsid w:val="00E14960"/>
    <w:rsid w:val="00E2059F"/>
    <w:rsid w:val="00E23C62"/>
    <w:rsid w:val="00E249B5"/>
    <w:rsid w:val="00E30BDF"/>
    <w:rsid w:val="00E34BDD"/>
    <w:rsid w:val="00E40A99"/>
    <w:rsid w:val="00E41D94"/>
    <w:rsid w:val="00E41E03"/>
    <w:rsid w:val="00E46AC4"/>
    <w:rsid w:val="00E47FC1"/>
    <w:rsid w:val="00E50277"/>
    <w:rsid w:val="00E505D3"/>
    <w:rsid w:val="00E51CC0"/>
    <w:rsid w:val="00E559DE"/>
    <w:rsid w:val="00E56DAD"/>
    <w:rsid w:val="00E6152E"/>
    <w:rsid w:val="00E62DDA"/>
    <w:rsid w:val="00E63108"/>
    <w:rsid w:val="00E63401"/>
    <w:rsid w:val="00E66602"/>
    <w:rsid w:val="00E700DB"/>
    <w:rsid w:val="00E70964"/>
    <w:rsid w:val="00E72F08"/>
    <w:rsid w:val="00E77B7E"/>
    <w:rsid w:val="00E80BAD"/>
    <w:rsid w:val="00E82544"/>
    <w:rsid w:val="00E82ACC"/>
    <w:rsid w:val="00E83497"/>
    <w:rsid w:val="00E86872"/>
    <w:rsid w:val="00E873B1"/>
    <w:rsid w:val="00E9136D"/>
    <w:rsid w:val="00E9139B"/>
    <w:rsid w:val="00E91F97"/>
    <w:rsid w:val="00E942B9"/>
    <w:rsid w:val="00E94732"/>
    <w:rsid w:val="00E95B5D"/>
    <w:rsid w:val="00E95D02"/>
    <w:rsid w:val="00E97B8A"/>
    <w:rsid w:val="00EA7447"/>
    <w:rsid w:val="00EA769B"/>
    <w:rsid w:val="00EB100D"/>
    <w:rsid w:val="00EB1ECE"/>
    <w:rsid w:val="00EB4E49"/>
    <w:rsid w:val="00EC6F09"/>
    <w:rsid w:val="00EC77EC"/>
    <w:rsid w:val="00ED0C91"/>
    <w:rsid w:val="00ED154A"/>
    <w:rsid w:val="00ED19FC"/>
    <w:rsid w:val="00ED241B"/>
    <w:rsid w:val="00ED41F6"/>
    <w:rsid w:val="00ED468C"/>
    <w:rsid w:val="00ED555B"/>
    <w:rsid w:val="00ED55A1"/>
    <w:rsid w:val="00ED6E71"/>
    <w:rsid w:val="00EE21A8"/>
    <w:rsid w:val="00EE267F"/>
    <w:rsid w:val="00EE387B"/>
    <w:rsid w:val="00EF00A1"/>
    <w:rsid w:val="00EF406F"/>
    <w:rsid w:val="00EF7474"/>
    <w:rsid w:val="00EF7754"/>
    <w:rsid w:val="00F01434"/>
    <w:rsid w:val="00F0514C"/>
    <w:rsid w:val="00F10C22"/>
    <w:rsid w:val="00F12FE0"/>
    <w:rsid w:val="00F14395"/>
    <w:rsid w:val="00F14BD4"/>
    <w:rsid w:val="00F1768D"/>
    <w:rsid w:val="00F17B97"/>
    <w:rsid w:val="00F2132A"/>
    <w:rsid w:val="00F213ED"/>
    <w:rsid w:val="00F224B2"/>
    <w:rsid w:val="00F24BEB"/>
    <w:rsid w:val="00F35B1D"/>
    <w:rsid w:val="00F35F3F"/>
    <w:rsid w:val="00F41E58"/>
    <w:rsid w:val="00F53410"/>
    <w:rsid w:val="00F53C52"/>
    <w:rsid w:val="00F54148"/>
    <w:rsid w:val="00F54835"/>
    <w:rsid w:val="00F569EB"/>
    <w:rsid w:val="00F623DF"/>
    <w:rsid w:val="00F64465"/>
    <w:rsid w:val="00F72488"/>
    <w:rsid w:val="00F747C3"/>
    <w:rsid w:val="00F7545F"/>
    <w:rsid w:val="00F91EA6"/>
    <w:rsid w:val="00F94D2C"/>
    <w:rsid w:val="00F96D2E"/>
    <w:rsid w:val="00FA120A"/>
    <w:rsid w:val="00FA1AEC"/>
    <w:rsid w:val="00FA2E8D"/>
    <w:rsid w:val="00FC1B93"/>
    <w:rsid w:val="00FC763E"/>
    <w:rsid w:val="00FD420B"/>
    <w:rsid w:val="00FD46C1"/>
    <w:rsid w:val="00FE0A83"/>
    <w:rsid w:val="00FE4369"/>
    <w:rsid w:val="00FE460D"/>
    <w:rsid w:val="00FE4661"/>
    <w:rsid w:val="00FE5E1B"/>
    <w:rsid w:val="00FE6475"/>
    <w:rsid w:val="00FF1AD1"/>
    <w:rsid w:val="00FF2A70"/>
    <w:rsid w:val="00FF3192"/>
    <w:rsid w:val="00FF687D"/>
    <w:rsid w:val="00FF729E"/>
    <w:rsid w:val="00FF7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EBA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17A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DA60BA"/>
    <w:pPr>
      <w:keepNext/>
      <w:spacing w:before="240" w:after="60" w:line="240" w:lineRule="auto"/>
      <w:jc w:val="both"/>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4019"/>
    <w:pPr>
      <w:ind w:left="720"/>
      <w:contextualSpacing/>
    </w:pPr>
  </w:style>
  <w:style w:type="character" w:styleId="Pogrubienie">
    <w:name w:val="Strong"/>
    <w:basedOn w:val="Domylnaczcionkaakapitu"/>
    <w:uiPriority w:val="22"/>
    <w:qFormat/>
    <w:rsid w:val="002E08D8"/>
    <w:rPr>
      <w:b/>
      <w:bCs/>
    </w:rPr>
  </w:style>
  <w:style w:type="paragraph" w:styleId="Tekstdymka">
    <w:name w:val="Balloon Text"/>
    <w:basedOn w:val="Normalny"/>
    <w:link w:val="TekstdymkaZnak"/>
    <w:uiPriority w:val="99"/>
    <w:semiHidden/>
    <w:unhideWhenUsed/>
    <w:rsid w:val="00540D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DD9"/>
    <w:rPr>
      <w:rFonts w:ascii="Segoe UI" w:hAnsi="Segoe UI" w:cs="Segoe UI"/>
      <w:sz w:val="18"/>
      <w:szCs w:val="18"/>
    </w:rPr>
  </w:style>
  <w:style w:type="character" w:styleId="Odwoaniedokomentarza">
    <w:name w:val="annotation reference"/>
    <w:basedOn w:val="Domylnaczcionkaakapitu"/>
    <w:uiPriority w:val="99"/>
    <w:semiHidden/>
    <w:unhideWhenUsed/>
    <w:rsid w:val="00B06240"/>
    <w:rPr>
      <w:sz w:val="16"/>
      <w:szCs w:val="16"/>
    </w:rPr>
  </w:style>
  <w:style w:type="paragraph" w:styleId="Tekstkomentarza">
    <w:name w:val="annotation text"/>
    <w:basedOn w:val="Normalny"/>
    <w:link w:val="TekstkomentarzaZnak"/>
    <w:uiPriority w:val="99"/>
    <w:unhideWhenUsed/>
    <w:rsid w:val="00B06240"/>
    <w:pPr>
      <w:spacing w:line="240" w:lineRule="auto"/>
    </w:pPr>
    <w:rPr>
      <w:sz w:val="20"/>
      <w:szCs w:val="20"/>
    </w:rPr>
  </w:style>
  <w:style w:type="character" w:customStyle="1" w:styleId="TekstkomentarzaZnak">
    <w:name w:val="Tekst komentarza Znak"/>
    <w:basedOn w:val="Domylnaczcionkaakapitu"/>
    <w:link w:val="Tekstkomentarza"/>
    <w:uiPriority w:val="99"/>
    <w:rsid w:val="00B06240"/>
    <w:rPr>
      <w:sz w:val="20"/>
      <w:szCs w:val="20"/>
    </w:rPr>
  </w:style>
  <w:style w:type="paragraph" w:styleId="Tematkomentarza">
    <w:name w:val="annotation subject"/>
    <w:basedOn w:val="Tekstkomentarza"/>
    <w:next w:val="Tekstkomentarza"/>
    <w:link w:val="TematkomentarzaZnak"/>
    <w:uiPriority w:val="99"/>
    <w:semiHidden/>
    <w:unhideWhenUsed/>
    <w:rsid w:val="00B06240"/>
    <w:rPr>
      <w:b/>
      <w:bCs/>
    </w:rPr>
  </w:style>
  <w:style w:type="character" w:customStyle="1" w:styleId="TematkomentarzaZnak">
    <w:name w:val="Temat komentarza Znak"/>
    <w:basedOn w:val="TekstkomentarzaZnak"/>
    <w:link w:val="Tematkomentarza"/>
    <w:uiPriority w:val="99"/>
    <w:semiHidden/>
    <w:rsid w:val="00B06240"/>
    <w:rPr>
      <w:b/>
      <w:bCs/>
      <w:sz w:val="20"/>
      <w:szCs w:val="20"/>
    </w:rPr>
  </w:style>
  <w:style w:type="paragraph" w:customStyle="1" w:styleId="ARTartustawynprozporzdzenia">
    <w:name w:val="ART(§) – art. ustawy (§ np. rozporządzenia)"/>
    <w:uiPriority w:val="11"/>
    <w:qFormat/>
    <w:rsid w:val="00436901"/>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436901"/>
    <w:pPr>
      <w:spacing w:before="0"/>
    </w:pPr>
    <w:rPr>
      <w:bCs/>
    </w:rPr>
  </w:style>
  <w:style w:type="paragraph" w:styleId="Poprawka">
    <w:name w:val="Revision"/>
    <w:hidden/>
    <w:uiPriority w:val="99"/>
    <w:semiHidden/>
    <w:rsid w:val="000E6CDC"/>
    <w:pPr>
      <w:spacing w:after="0" w:line="240" w:lineRule="auto"/>
    </w:pPr>
  </w:style>
  <w:style w:type="paragraph" w:styleId="Nagwek">
    <w:name w:val="header"/>
    <w:basedOn w:val="Normalny"/>
    <w:link w:val="NagwekZnak"/>
    <w:uiPriority w:val="99"/>
    <w:unhideWhenUsed/>
    <w:rsid w:val="00CA1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12"/>
  </w:style>
  <w:style w:type="paragraph" w:styleId="Stopka">
    <w:name w:val="footer"/>
    <w:basedOn w:val="Normalny"/>
    <w:link w:val="StopkaZnak"/>
    <w:uiPriority w:val="99"/>
    <w:unhideWhenUsed/>
    <w:rsid w:val="00CA1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1212"/>
  </w:style>
  <w:style w:type="paragraph" w:customStyle="1" w:styleId="parinner">
    <w:name w:val="parinner"/>
    <w:basedOn w:val="Normalny"/>
    <w:rsid w:val="00840D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840D4A"/>
  </w:style>
  <w:style w:type="character" w:customStyle="1" w:styleId="Nagwek1Znak">
    <w:name w:val="Nagłówek 1 Znak"/>
    <w:basedOn w:val="Domylnaczcionkaakapitu"/>
    <w:link w:val="Nagwek1"/>
    <w:uiPriority w:val="9"/>
    <w:rsid w:val="00617A76"/>
    <w:rPr>
      <w:rFonts w:asciiTheme="majorHAnsi" w:eastAsiaTheme="majorEastAsia" w:hAnsiTheme="majorHAnsi" w:cstheme="majorBidi"/>
      <w:color w:val="2E74B5" w:themeColor="accent1" w:themeShade="BF"/>
      <w:sz w:val="32"/>
      <w:szCs w:val="32"/>
    </w:rPr>
  </w:style>
  <w:style w:type="paragraph" w:styleId="Tekstprzypisukocowego">
    <w:name w:val="endnote text"/>
    <w:basedOn w:val="Normalny"/>
    <w:link w:val="TekstprzypisukocowegoZnak"/>
    <w:uiPriority w:val="99"/>
    <w:semiHidden/>
    <w:unhideWhenUsed/>
    <w:rsid w:val="00226B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6BB3"/>
    <w:rPr>
      <w:sz w:val="20"/>
      <w:szCs w:val="20"/>
    </w:rPr>
  </w:style>
  <w:style w:type="character" w:styleId="Odwoanieprzypisukocowego">
    <w:name w:val="endnote reference"/>
    <w:basedOn w:val="Domylnaczcionkaakapitu"/>
    <w:uiPriority w:val="99"/>
    <w:semiHidden/>
    <w:unhideWhenUsed/>
    <w:rsid w:val="00226BB3"/>
    <w:rPr>
      <w:vertAlign w:val="superscript"/>
    </w:rPr>
  </w:style>
  <w:style w:type="paragraph" w:customStyle="1" w:styleId="Default">
    <w:name w:val="Default"/>
    <w:rsid w:val="006D0CF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6D0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6D0CF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D0CF8"/>
    <w:rPr>
      <w:sz w:val="20"/>
      <w:szCs w:val="20"/>
    </w:rPr>
  </w:style>
  <w:style w:type="character" w:styleId="Odwoanieprzypisudolnego">
    <w:name w:val="footnote reference"/>
    <w:basedOn w:val="Domylnaczcionkaakapitu"/>
    <w:uiPriority w:val="99"/>
    <w:semiHidden/>
    <w:unhideWhenUsed/>
    <w:rsid w:val="006D0CF8"/>
    <w:rPr>
      <w:vertAlign w:val="superscript"/>
    </w:rPr>
  </w:style>
  <w:style w:type="character" w:customStyle="1" w:styleId="Nagwek3Znak">
    <w:name w:val="Nagłówek 3 Znak"/>
    <w:basedOn w:val="Domylnaczcionkaakapitu"/>
    <w:link w:val="Nagwek3"/>
    <w:rsid w:val="00DA60BA"/>
    <w:rPr>
      <w:rFonts w:ascii="Arial" w:eastAsia="Times New Roman" w:hAnsi="Arial" w:cs="Arial"/>
      <w:b/>
      <w:bCs/>
      <w:sz w:val="26"/>
      <w:szCs w:val="26"/>
      <w:lang w:eastAsia="pl-PL"/>
    </w:rPr>
  </w:style>
  <w:style w:type="numbering" w:customStyle="1" w:styleId="Bezlisty1">
    <w:name w:val="Bez listy1"/>
    <w:next w:val="Bezlisty"/>
    <w:uiPriority w:val="99"/>
    <w:semiHidden/>
    <w:unhideWhenUsed/>
    <w:rsid w:val="00DA60BA"/>
  </w:style>
  <w:style w:type="table" w:customStyle="1" w:styleId="Tabela-Siatka1">
    <w:name w:val="Tabela - Siatka1"/>
    <w:basedOn w:val="Standardowy"/>
    <w:next w:val="Tabela-Siatka"/>
    <w:uiPriority w:val="99"/>
    <w:rsid w:val="00DA60B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A60BA"/>
    <w:rPr>
      <w:color w:val="0000FF"/>
      <w:u w:val="single"/>
    </w:rPr>
  </w:style>
  <w:style w:type="character" w:styleId="UyteHipercze">
    <w:name w:val="FollowedHyperlink"/>
    <w:uiPriority w:val="99"/>
    <w:semiHidden/>
    <w:unhideWhenUsed/>
    <w:rsid w:val="00DA60BA"/>
    <w:rPr>
      <w:color w:val="800080"/>
      <w:u w:val="single"/>
    </w:rPr>
  </w:style>
  <w:style w:type="character" w:styleId="Tekstzastpczy">
    <w:name w:val="Placeholder Text"/>
    <w:basedOn w:val="Domylnaczcionkaakapitu"/>
    <w:uiPriority w:val="99"/>
    <w:semiHidden/>
    <w:rsid w:val="00DA60BA"/>
    <w:rPr>
      <w:color w:val="808080"/>
    </w:rPr>
  </w:style>
  <w:style w:type="paragraph" w:customStyle="1" w:styleId="NIEARTTEKSTtekstnieartykuowanynppodstprawnarozplubpreambua">
    <w:name w:val="NIEART_TEKST – tekst nieartykułowany (np. podst. prawna rozp. lub preambuła)"/>
    <w:basedOn w:val="Normalny"/>
    <w:next w:val="Normalny"/>
    <w:uiPriority w:val="7"/>
    <w:qFormat/>
    <w:rsid w:val="00DA60BA"/>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character" w:customStyle="1" w:styleId="tel">
    <w:name w:val="tel"/>
    <w:basedOn w:val="Domylnaczcionkaakapitu"/>
    <w:rsid w:val="00DA60BA"/>
  </w:style>
  <w:style w:type="table" w:customStyle="1" w:styleId="Siatkatabelijasna1">
    <w:name w:val="Siatka tabeli — jasna1"/>
    <w:basedOn w:val="Standardowy"/>
    <w:next w:val="Siatkatabelijasna"/>
    <w:uiPriority w:val="40"/>
    <w:rsid w:val="00DA60BA"/>
    <w:pPr>
      <w:spacing w:after="0" w:line="240" w:lineRule="auto"/>
    </w:pPr>
    <w:rPr>
      <w:rFonts w:ascii="Calibri" w:eastAsia="Calibri" w:hAnsi="Calibri"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Legenda1">
    <w:name w:val="Legenda1"/>
    <w:basedOn w:val="Normalny"/>
    <w:next w:val="Normalny"/>
    <w:uiPriority w:val="35"/>
    <w:unhideWhenUsed/>
    <w:qFormat/>
    <w:locked/>
    <w:rsid w:val="00DA60BA"/>
    <w:pPr>
      <w:spacing w:after="200" w:line="240" w:lineRule="auto"/>
      <w:jc w:val="both"/>
    </w:pPr>
    <w:rPr>
      <w:rFonts w:ascii="Cambria" w:hAnsi="Cambria"/>
      <w:i/>
      <w:iCs/>
      <w:color w:val="1F497D"/>
      <w:sz w:val="18"/>
      <w:szCs w:val="18"/>
    </w:rPr>
  </w:style>
  <w:style w:type="table" w:styleId="Siatkatabelijasna">
    <w:name w:val="Grid Table Light"/>
    <w:basedOn w:val="Standardowy"/>
    <w:uiPriority w:val="40"/>
    <w:rsid w:val="00DA60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rticletitle">
    <w:name w:val="articletitle"/>
    <w:basedOn w:val="Domylnaczcionkaakapitu"/>
    <w:rsid w:val="007704F7"/>
  </w:style>
  <w:style w:type="table" w:customStyle="1" w:styleId="Tabela-Siatka2">
    <w:name w:val="Tabela - Siatka2"/>
    <w:basedOn w:val="Standardowy"/>
    <w:next w:val="Tabela-Siatka"/>
    <w:uiPriority w:val="39"/>
    <w:rsid w:val="00430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3025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4489">
      <w:bodyDiv w:val="1"/>
      <w:marLeft w:val="0"/>
      <w:marRight w:val="0"/>
      <w:marTop w:val="0"/>
      <w:marBottom w:val="0"/>
      <w:divBdr>
        <w:top w:val="none" w:sz="0" w:space="0" w:color="auto"/>
        <w:left w:val="none" w:sz="0" w:space="0" w:color="auto"/>
        <w:bottom w:val="none" w:sz="0" w:space="0" w:color="auto"/>
        <w:right w:val="none" w:sz="0" w:space="0" w:color="auto"/>
      </w:divBdr>
    </w:div>
    <w:div w:id="38558322">
      <w:bodyDiv w:val="1"/>
      <w:marLeft w:val="0"/>
      <w:marRight w:val="0"/>
      <w:marTop w:val="0"/>
      <w:marBottom w:val="0"/>
      <w:divBdr>
        <w:top w:val="none" w:sz="0" w:space="0" w:color="auto"/>
        <w:left w:val="none" w:sz="0" w:space="0" w:color="auto"/>
        <w:bottom w:val="none" w:sz="0" w:space="0" w:color="auto"/>
        <w:right w:val="none" w:sz="0" w:space="0" w:color="auto"/>
      </w:divBdr>
    </w:div>
    <w:div w:id="72045436">
      <w:bodyDiv w:val="1"/>
      <w:marLeft w:val="0"/>
      <w:marRight w:val="0"/>
      <w:marTop w:val="0"/>
      <w:marBottom w:val="0"/>
      <w:divBdr>
        <w:top w:val="none" w:sz="0" w:space="0" w:color="auto"/>
        <w:left w:val="none" w:sz="0" w:space="0" w:color="auto"/>
        <w:bottom w:val="none" w:sz="0" w:space="0" w:color="auto"/>
        <w:right w:val="none" w:sz="0" w:space="0" w:color="auto"/>
      </w:divBdr>
    </w:div>
    <w:div w:id="289439219">
      <w:bodyDiv w:val="1"/>
      <w:marLeft w:val="0"/>
      <w:marRight w:val="0"/>
      <w:marTop w:val="0"/>
      <w:marBottom w:val="0"/>
      <w:divBdr>
        <w:top w:val="none" w:sz="0" w:space="0" w:color="auto"/>
        <w:left w:val="none" w:sz="0" w:space="0" w:color="auto"/>
        <w:bottom w:val="none" w:sz="0" w:space="0" w:color="auto"/>
        <w:right w:val="none" w:sz="0" w:space="0" w:color="auto"/>
      </w:divBdr>
    </w:div>
    <w:div w:id="294333142">
      <w:bodyDiv w:val="1"/>
      <w:marLeft w:val="0"/>
      <w:marRight w:val="0"/>
      <w:marTop w:val="0"/>
      <w:marBottom w:val="0"/>
      <w:divBdr>
        <w:top w:val="none" w:sz="0" w:space="0" w:color="auto"/>
        <w:left w:val="none" w:sz="0" w:space="0" w:color="auto"/>
        <w:bottom w:val="none" w:sz="0" w:space="0" w:color="auto"/>
        <w:right w:val="none" w:sz="0" w:space="0" w:color="auto"/>
      </w:divBdr>
    </w:div>
    <w:div w:id="468014929">
      <w:bodyDiv w:val="1"/>
      <w:marLeft w:val="0"/>
      <w:marRight w:val="0"/>
      <w:marTop w:val="0"/>
      <w:marBottom w:val="0"/>
      <w:divBdr>
        <w:top w:val="none" w:sz="0" w:space="0" w:color="auto"/>
        <w:left w:val="none" w:sz="0" w:space="0" w:color="auto"/>
        <w:bottom w:val="none" w:sz="0" w:space="0" w:color="auto"/>
        <w:right w:val="none" w:sz="0" w:space="0" w:color="auto"/>
      </w:divBdr>
      <w:divsChild>
        <w:div w:id="1770077826">
          <w:marLeft w:val="0"/>
          <w:marRight w:val="0"/>
          <w:marTop w:val="0"/>
          <w:marBottom w:val="0"/>
          <w:divBdr>
            <w:top w:val="none" w:sz="0" w:space="0" w:color="auto"/>
            <w:left w:val="none" w:sz="0" w:space="0" w:color="auto"/>
            <w:bottom w:val="none" w:sz="0" w:space="0" w:color="auto"/>
            <w:right w:val="none" w:sz="0" w:space="0" w:color="auto"/>
          </w:divBdr>
          <w:divsChild>
            <w:div w:id="33891904">
              <w:marLeft w:val="0"/>
              <w:marRight w:val="0"/>
              <w:marTop w:val="0"/>
              <w:marBottom w:val="0"/>
              <w:divBdr>
                <w:top w:val="none" w:sz="0" w:space="0" w:color="auto"/>
                <w:left w:val="none" w:sz="0" w:space="0" w:color="auto"/>
                <w:bottom w:val="none" w:sz="0" w:space="0" w:color="auto"/>
                <w:right w:val="none" w:sz="0" w:space="0" w:color="auto"/>
              </w:divBdr>
              <w:divsChild>
                <w:div w:id="1938755602">
                  <w:marLeft w:val="0"/>
                  <w:marRight w:val="0"/>
                  <w:marTop w:val="0"/>
                  <w:marBottom w:val="0"/>
                  <w:divBdr>
                    <w:top w:val="none" w:sz="0" w:space="0" w:color="auto"/>
                    <w:left w:val="none" w:sz="0" w:space="0" w:color="auto"/>
                    <w:bottom w:val="none" w:sz="0" w:space="0" w:color="auto"/>
                    <w:right w:val="none" w:sz="0" w:space="0" w:color="auto"/>
                  </w:divBdr>
                  <w:divsChild>
                    <w:div w:id="1292126666">
                      <w:marLeft w:val="0"/>
                      <w:marRight w:val="0"/>
                      <w:marTop w:val="0"/>
                      <w:marBottom w:val="0"/>
                      <w:divBdr>
                        <w:top w:val="none" w:sz="0" w:space="0" w:color="auto"/>
                        <w:left w:val="none" w:sz="0" w:space="0" w:color="auto"/>
                        <w:bottom w:val="none" w:sz="0" w:space="0" w:color="auto"/>
                        <w:right w:val="none" w:sz="0" w:space="0" w:color="auto"/>
                      </w:divBdr>
                      <w:divsChild>
                        <w:div w:id="1582174104">
                          <w:marLeft w:val="0"/>
                          <w:marRight w:val="0"/>
                          <w:marTop w:val="0"/>
                          <w:marBottom w:val="0"/>
                          <w:divBdr>
                            <w:top w:val="none" w:sz="0" w:space="0" w:color="auto"/>
                            <w:left w:val="none" w:sz="0" w:space="0" w:color="auto"/>
                            <w:bottom w:val="none" w:sz="0" w:space="0" w:color="auto"/>
                            <w:right w:val="none" w:sz="0" w:space="0" w:color="auto"/>
                          </w:divBdr>
                          <w:divsChild>
                            <w:div w:id="86193688">
                              <w:marLeft w:val="0"/>
                              <w:marRight w:val="0"/>
                              <w:marTop w:val="0"/>
                              <w:marBottom w:val="0"/>
                              <w:divBdr>
                                <w:top w:val="none" w:sz="0" w:space="0" w:color="auto"/>
                                <w:left w:val="none" w:sz="0" w:space="0" w:color="auto"/>
                                <w:bottom w:val="none" w:sz="0" w:space="0" w:color="auto"/>
                                <w:right w:val="none" w:sz="0" w:space="0" w:color="auto"/>
                              </w:divBdr>
                              <w:divsChild>
                                <w:div w:id="2078236662">
                                  <w:marLeft w:val="0"/>
                                  <w:marRight w:val="0"/>
                                  <w:marTop w:val="0"/>
                                  <w:marBottom w:val="0"/>
                                  <w:divBdr>
                                    <w:top w:val="none" w:sz="0" w:space="0" w:color="auto"/>
                                    <w:left w:val="none" w:sz="0" w:space="0" w:color="auto"/>
                                    <w:bottom w:val="none" w:sz="0" w:space="0" w:color="auto"/>
                                    <w:right w:val="none" w:sz="0" w:space="0" w:color="auto"/>
                                  </w:divBdr>
                                  <w:divsChild>
                                    <w:div w:id="1510439224">
                                      <w:marLeft w:val="0"/>
                                      <w:marRight w:val="0"/>
                                      <w:marTop w:val="0"/>
                                      <w:marBottom w:val="0"/>
                                      <w:divBdr>
                                        <w:top w:val="none" w:sz="0" w:space="0" w:color="auto"/>
                                        <w:left w:val="none" w:sz="0" w:space="0" w:color="auto"/>
                                        <w:bottom w:val="none" w:sz="0" w:space="0" w:color="auto"/>
                                        <w:right w:val="none" w:sz="0" w:space="0" w:color="auto"/>
                                      </w:divBdr>
                                      <w:divsChild>
                                        <w:div w:id="1888451575">
                                          <w:marLeft w:val="0"/>
                                          <w:marRight w:val="0"/>
                                          <w:marTop w:val="0"/>
                                          <w:marBottom w:val="0"/>
                                          <w:divBdr>
                                            <w:top w:val="none" w:sz="0" w:space="0" w:color="auto"/>
                                            <w:left w:val="none" w:sz="0" w:space="0" w:color="auto"/>
                                            <w:bottom w:val="none" w:sz="0" w:space="0" w:color="auto"/>
                                            <w:right w:val="none" w:sz="0" w:space="0" w:color="auto"/>
                                          </w:divBdr>
                                          <w:divsChild>
                                            <w:div w:id="1161194900">
                                              <w:marLeft w:val="0"/>
                                              <w:marRight w:val="0"/>
                                              <w:marTop w:val="0"/>
                                              <w:marBottom w:val="0"/>
                                              <w:divBdr>
                                                <w:top w:val="none" w:sz="0" w:space="0" w:color="auto"/>
                                                <w:left w:val="none" w:sz="0" w:space="0" w:color="auto"/>
                                                <w:bottom w:val="none" w:sz="0" w:space="0" w:color="auto"/>
                                                <w:right w:val="none" w:sz="0" w:space="0" w:color="auto"/>
                                              </w:divBdr>
                                              <w:divsChild>
                                                <w:div w:id="94253902">
                                                  <w:marLeft w:val="0"/>
                                                  <w:marRight w:val="0"/>
                                                  <w:marTop w:val="0"/>
                                                  <w:marBottom w:val="0"/>
                                                  <w:divBdr>
                                                    <w:top w:val="none" w:sz="0" w:space="0" w:color="auto"/>
                                                    <w:left w:val="none" w:sz="0" w:space="0" w:color="auto"/>
                                                    <w:bottom w:val="none" w:sz="0" w:space="0" w:color="auto"/>
                                                    <w:right w:val="none" w:sz="0" w:space="0" w:color="auto"/>
                                                  </w:divBdr>
                                                  <w:divsChild>
                                                    <w:div w:id="6835261">
                                                      <w:marLeft w:val="0"/>
                                                      <w:marRight w:val="0"/>
                                                      <w:marTop w:val="0"/>
                                                      <w:marBottom w:val="0"/>
                                                      <w:divBdr>
                                                        <w:top w:val="none" w:sz="0" w:space="0" w:color="auto"/>
                                                        <w:left w:val="none" w:sz="0" w:space="0" w:color="auto"/>
                                                        <w:bottom w:val="none" w:sz="0" w:space="0" w:color="auto"/>
                                                        <w:right w:val="none" w:sz="0" w:space="0" w:color="auto"/>
                                                      </w:divBdr>
                                                      <w:divsChild>
                                                        <w:div w:id="511995531">
                                                          <w:marLeft w:val="0"/>
                                                          <w:marRight w:val="0"/>
                                                          <w:marTop w:val="0"/>
                                                          <w:marBottom w:val="0"/>
                                                          <w:divBdr>
                                                            <w:top w:val="none" w:sz="0" w:space="0" w:color="auto"/>
                                                            <w:left w:val="none" w:sz="0" w:space="0" w:color="auto"/>
                                                            <w:bottom w:val="none" w:sz="0" w:space="0" w:color="auto"/>
                                                            <w:right w:val="none" w:sz="0" w:space="0" w:color="auto"/>
                                                          </w:divBdr>
                                                          <w:divsChild>
                                                            <w:div w:id="190599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0606">
                                                      <w:marLeft w:val="0"/>
                                                      <w:marRight w:val="0"/>
                                                      <w:marTop w:val="0"/>
                                                      <w:marBottom w:val="0"/>
                                                      <w:divBdr>
                                                        <w:top w:val="none" w:sz="0" w:space="0" w:color="auto"/>
                                                        <w:left w:val="none" w:sz="0" w:space="0" w:color="auto"/>
                                                        <w:bottom w:val="none" w:sz="0" w:space="0" w:color="auto"/>
                                                        <w:right w:val="none" w:sz="0" w:space="0" w:color="auto"/>
                                                      </w:divBdr>
                                                      <w:divsChild>
                                                        <w:div w:id="1367372444">
                                                          <w:marLeft w:val="0"/>
                                                          <w:marRight w:val="0"/>
                                                          <w:marTop w:val="0"/>
                                                          <w:marBottom w:val="0"/>
                                                          <w:divBdr>
                                                            <w:top w:val="none" w:sz="0" w:space="0" w:color="auto"/>
                                                            <w:left w:val="none" w:sz="0" w:space="0" w:color="auto"/>
                                                            <w:bottom w:val="none" w:sz="0" w:space="0" w:color="auto"/>
                                                            <w:right w:val="none" w:sz="0" w:space="0" w:color="auto"/>
                                                          </w:divBdr>
                                                          <w:divsChild>
                                                            <w:div w:id="35176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1041">
                                                      <w:marLeft w:val="0"/>
                                                      <w:marRight w:val="0"/>
                                                      <w:marTop w:val="0"/>
                                                      <w:marBottom w:val="0"/>
                                                      <w:divBdr>
                                                        <w:top w:val="none" w:sz="0" w:space="0" w:color="auto"/>
                                                        <w:left w:val="none" w:sz="0" w:space="0" w:color="auto"/>
                                                        <w:bottom w:val="none" w:sz="0" w:space="0" w:color="auto"/>
                                                        <w:right w:val="none" w:sz="0" w:space="0" w:color="auto"/>
                                                      </w:divBdr>
                                                      <w:divsChild>
                                                        <w:div w:id="2138865620">
                                                          <w:marLeft w:val="0"/>
                                                          <w:marRight w:val="0"/>
                                                          <w:marTop w:val="0"/>
                                                          <w:marBottom w:val="0"/>
                                                          <w:divBdr>
                                                            <w:top w:val="none" w:sz="0" w:space="0" w:color="auto"/>
                                                            <w:left w:val="none" w:sz="0" w:space="0" w:color="auto"/>
                                                            <w:bottom w:val="none" w:sz="0" w:space="0" w:color="auto"/>
                                                            <w:right w:val="none" w:sz="0" w:space="0" w:color="auto"/>
                                                          </w:divBdr>
                                                          <w:divsChild>
                                                            <w:div w:id="41806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92544">
                                                      <w:marLeft w:val="0"/>
                                                      <w:marRight w:val="0"/>
                                                      <w:marTop w:val="0"/>
                                                      <w:marBottom w:val="0"/>
                                                      <w:divBdr>
                                                        <w:top w:val="none" w:sz="0" w:space="0" w:color="auto"/>
                                                        <w:left w:val="none" w:sz="0" w:space="0" w:color="auto"/>
                                                        <w:bottom w:val="none" w:sz="0" w:space="0" w:color="auto"/>
                                                        <w:right w:val="none" w:sz="0" w:space="0" w:color="auto"/>
                                                      </w:divBdr>
                                                      <w:divsChild>
                                                        <w:div w:id="881556753">
                                                          <w:marLeft w:val="0"/>
                                                          <w:marRight w:val="0"/>
                                                          <w:marTop w:val="0"/>
                                                          <w:marBottom w:val="0"/>
                                                          <w:divBdr>
                                                            <w:top w:val="none" w:sz="0" w:space="0" w:color="auto"/>
                                                            <w:left w:val="none" w:sz="0" w:space="0" w:color="auto"/>
                                                            <w:bottom w:val="none" w:sz="0" w:space="0" w:color="auto"/>
                                                            <w:right w:val="none" w:sz="0" w:space="0" w:color="auto"/>
                                                          </w:divBdr>
                                                          <w:divsChild>
                                                            <w:div w:id="4368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8575">
                                                      <w:marLeft w:val="0"/>
                                                      <w:marRight w:val="0"/>
                                                      <w:marTop w:val="0"/>
                                                      <w:marBottom w:val="0"/>
                                                      <w:divBdr>
                                                        <w:top w:val="none" w:sz="0" w:space="0" w:color="auto"/>
                                                        <w:left w:val="none" w:sz="0" w:space="0" w:color="auto"/>
                                                        <w:bottom w:val="none" w:sz="0" w:space="0" w:color="auto"/>
                                                        <w:right w:val="none" w:sz="0" w:space="0" w:color="auto"/>
                                                      </w:divBdr>
                                                      <w:divsChild>
                                                        <w:div w:id="947202045">
                                                          <w:marLeft w:val="0"/>
                                                          <w:marRight w:val="0"/>
                                                          <w:marTop w:val="0"/>
                                                          <w:marBottom w:val="0"/>
                                                          <w:divBdr>
                                                            <w:top w:val="none" w:sz="0" w:space="0" w:color="auto"/>
                                                            <w:left w:val="none" w:sz="0" w:space="0" w:color="auto"/>
                                                            <w:bottom w:val="none" w:sz="0" w:space="0" w:color="auto"/>
                                                            <w:right w:val="none" w:sz="0" w:space="0" w:color="auto"/>
                                                          </w:divBdr>
                                                          <w:divsChild>
                                                            <w:div w:id="60712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44633">
                                                      <w:marLeft w:val="0"/>
                                                      <w:marRight w:val="0"/>
                                                      <w:marTop w:val="0"/>
                                                      <w:marBottom w:val="0"/>
                                                      <w:divBdr>
                                                        <w:top w:val="none" w:sz="0" w:space="0" w:color="auto"/>
                                                        <w:left w:val="none" w:sz="0" w:space="0" w:color="auto"/>
                                                        <w:bottom w:val="none" w:sz="0" w:space="0" w:color="auto"/>
                                                        <w:right w:val="none" w:sz="0" w:space="0" w:color="auto"/>
                                                      </w:divBdr>
                                                      <w:divsChild>
                                                        <w:div w:id="833689983">
                                                          <w:marLeft w:val="0"/>
                                                          <w:marRight w:val="0"/>
                                                          <w:marTop w:val="0"/>
                                                          <w:marBottom w:val="0"/>
                                                          <w:divBdr>
                                                            <w:top w:val="none" w:sz="0" w:space="0" w:color="auto"/>
                                                            <w:left w:val="none" w:sz="0" w:space="0" w:color="auto"/>
                                                            <w:bottom w:val="none" w:sz="0" w:space="0" w:color="auto"/>
                                                            <w:right w:val="none" w:sz="0" w:space="0" w:color="auto"/>
                                                          </w:divBdr>
                                                        </w:div>
                                                      </w:divsChild>
                                                    </w:div>
                                                    <w:div w:id="1074862649">
                                                      <w:marLeft w:val="0"/>
                                                      <w:marRight w:val="0"/>
                                                      <w:marTop w:val="0"/>
                                                      <w:marBottom w:val="0"/>
                                                      <w:divBdr>
                                                        <w:top w:val="none" w:sz="0" w:space="0" w:color="auto"/>
                                                        <w:left w:val="none" w:sz="0" w:space="0" w:color="auto"/>
                                                        <w:bottom w:val="none" w:sz="0" w:space="0" w:color="auto"/>
                                                        <w:right w:val="none" w:sz="0" w:space="0" w:color="auto"/>
                                                      </w:divBdr>
                                                      <w:divsChild>
                                                        <w:div w:id="1054233737">
                                                          <w:marLeft w:val="0"/>
                                                          <w:marRight w:val="0"/>
                                                          <w:marTop w:val="0"/>
                                                          <w:marBottom w:val="0"/>
                                                          <w:divBdr>
                                                            <w:top w:val="none" w:sz="0" w:space="0" w:color="auto"/>
                                                            <w:left w:val="none" w:sz="0" w:space="0" w:color="auto"/>
                                                            <w:bottom w:val="none" w:sz="0" w:space="0" w:color="auto"/>
                                                            <w:right w:val="none" w:sz="0" w:space="0" w:color="auto"/>
                                                          </w:divBdr>
                                                          <w:divsChild>
                                                            <w:div w:id="17337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41382">
                                                      <w:marLeft w:val="0"/>
                                                      <w:marRight w:val="0"/>
                                                      <w:marTop w:val="0"/>
                                                      <w:marBottom w:val="0"/>
                                                      <w:divBdr>
                                                        <w:top w:val="none" w:sz="0" w:space="0" w:color="auto"/>
                                                        <w:left w:val="none" w:sz="0" w:space="0" w:color="auto"/>
                                                        <w:bottom w:val="none" w:sz="0" w:space="0" w:color="auto"/>
                                                        <w:right w:val="none" w:sz="0" w:space="0" w:color="auto"/>
                                                      </w:divBdr>
                                                      <w:divsChild>
                                                        <w:div w:id="618801590">
                                                          <w:marLeft w:val="0"/>
                                                          <w:marRight w:val="0"/>
                                                          <w:marTop w:val="0"/>
                                                          <w:marBottom w:val="0"/>
                                                          <w:divBdr>
                                                            <w:top w:val="none" w:sz="0" w:space="0" w:color="auto"/>
                                                            <w:left w:val="none" w:sz="0" w:space="0" w:color="auto"/>
                                                            <w:bottom w:val="none" w:sz="0" w:space="0" w:color="auto"/>
                                                            <w:right w:val="none" w:sz="0" w:space="0" w:color="auto"/>
                                                          </w:divBdr>
                                                          <w:divsChild>
                                                            <w:div w:id="14313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5344">
                                                      <w:marLeft w:val="0"/>
                                                      <w:marRight w:val="0"/>
                                                      <w:marTop w:val="0"/>
                                                      <w:marBottom w:val="0"/>
                                                      <w:divBdr>
                                                        <w:top w:val="none" w:sz="0" w:space="0" w:color="auto"/>
                                                        <w:left w:val="none" w:sz="0" w:space="0" w:color="auto"/>
                                                        <w:bottom w:val="none" w:sz="0" w:space="0" w:color="auto"/>
                                                        <w:right w:val="none" w:sz="0" w:space="0" w:color="auto"/>
                                                      </w:divBdr>
                                                      <w:divsChild>
                                                        <w:div w:id="271940925">
                                                          <w:marLeft w:val="0"/>
                                                          <w:marRight w:val="0"/>
                                                          <w:marTop w:val="0"/>
                                                          <w:marBottom w:val="0"/>
                                                          <w:divBdr>
                                                            <w:top w:val="none" w:sz="0" w:space="0" w:color="auto"/>
                                                            <w:left w:val="none" w:sz="0" w:space="0" w:color="auto"/>
                                                            <w:bottom w:val="none" w:sz="0" w:space="0" w:color="auto"/>
                                                            <w:right w:val="none" w:sz="0" w:space="0" w:color="auto"/>
                                                          </w:divBdr>
                                                          <w:divsChild>
                                                            <w:div w:id="1034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2832">
                                                      <w:marLeft w:val="0"/>
                                                      <w:marRight w:val="0"/>
                                                      <w:marTop w:val="0"/>
                                                      <w:marBottom w:val="0"/>
                                                      <w:divBdr>
                                                        <w:top w:val="none" w:sz="0" w:space="0" w:color="auto"/>
                                                        <w:left w:val="none" w:sz="0" w:space="0" w:color="auto"/>
                                                        <w:bottom w:val="none" w:sz="0" w:space="0" w:color="auto"/>
                                                        <w:right w:val="none" w:sz="0" w:space="0" w:color="auto"/>
                                                      </w:divBdr>
                                                      <w:divsChild>
                                                        <w:div w:id="1098603605">
                                                          <w:marLeft w:val="0"/>
                                                          <w:marRight w:val="0"/>
                                                          <w:marTop w:val="0"/>
                                                          <w:marBottom w:val="0"/>
                                                          <w:divBdr>
                                                            <w:top w:val="none" w:sz="0" w:space="0" w:color="auto"/>
                                                            <w:left w:val="none" w:sz="0" w:space="0" w:color="auto"/>
                                                            <w:bottom w:val="none" w:sz="0" w:space="0" w:color="auto"/>
                                                            <w:right w:val="none" w:sz="0" w:space="0" w:color="auto"/>
                                                          </w:divBdr>
                                                          <w:divsChild>
                                                            <w:div w:id="59749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05905">
                                                      <w:marLeft w:val="0"/>
                                                      <w:marRight w:val="0"/>
                                                      <w:marTop w:val="0"/>
                                                      <w:marBottom w:val="0"/>
                                                      <w:divBdr>
                                                        <w:top w:val="none" w:sz="0" w:space="0" w:color="auto"/>
                                                        <w:left w:val="none" w:sz="0" w:space="0" w:color="auto"/>
                                                        <w:bottom w:val="none" w:sz="0" w:space="0" w:color="auto"/>
                                                        <w:right w:val="none" w:sz="0" w:space="0" w:color="auto"/>
                                                      </w:divBdr>
                                                      <w:divsChild>
                                                        <w:div w:id="329063015">
                                                          <w:marLeft w:val="0"/>
                                                          <w:marRight w:val="0"/>
                                                          <w:marTop w:val="0"/>
                                                          <w:marBottom w:val="0"/>
                                                          <w:divBdr>
                                                            <w:top w:val="none" w:sz="0" w:space="0" w:color="auto"/>
                                                            <w:left w:val="none" w:sz="0" w:space="0" w:color="auto"/>
                                                            <w:bottom w:val="none" w:sz="0" w:space="0" w:color="auto"/>
                                                            <w:right w:val="none" w:sz="0" w:space="0" w:color="auto"/>
                                                          </w:divBdr>
                                                          <w:divsChild>
                                                            <w:div w:id="14908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65734">
                                                      <w:marLeft w:val="0"/>
                                                      <w:marRight w:val="0"/>
                                                      <w:marTop w:val="0"/>
                                                      <w:marBottom w:val="0"/>
                                                      <w:divBdr>
                                                        <w:top w:val="none" w:sz="0" w:space="0" w:color="auto"/>
                                                        <w:left w:val="none" w:sz="0" w:space="0" w:color="auto"/>
                                                        <w:bottom w:val="none" w:sz="0" w:space="0" w:color="auto"/>
                                                        <w:right w:val="none" w:sz="0" w:space="0" w:color="auto"/>
                                                      </w:divBdr>
                                                      <w:divsChild>
                                                        <w:div w:id="399255985">
                                                          <w:marLeft w:val="0"/>
                                                          <w:marRight w:val="0"/>
                                                          <w:marTop w:val="0"/>
                                                          <w:marBottom w:val="0"/>
                                                          <w:divBdr>
                                                            <w:top w:val="none" w:sz="0" w:space="0" w:color="auto"/>
                                                            <w:left w:val="none" w:sz="0" w:space="0" w:color="auto"/>
                                                            <w:bottom w:val="none" w:sz="0" w:space="0" w:color="auto"/>
                                                            <w:right w:val="none" w:sz="0" w:space="0" w:color="auto"/>
                                                          </w:divBdr>
                                                          <w:divsChild>
                                                            <w:div w:id="2035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93435">
                                                      <w:marLeft w:val="0"/>
                                                      <w:marRight w:val="0"/>
                                                      <w:marTop w:val="0"/>
                                                      <w:marBottom w:val="0"/>
                                                      <w:divBdr>
                                                        <w:top w:val="none" w:sz="0" w:space="0" w:color="auto"/>
                                                        <w:left w:val="none" w:sz="0" w:space="0" w:color="auto"/>
                                                        <w:bottom w:val="none" w:sz="0" w:space="0" w:color="auto"/>
                                                        <w:right w:val="none" w:sz="0" w:space="0" w:color="auto"/>
                                                      </w:divBdr>
                                                      <w:divsChild>
                                                        <w:div w:id="1816340245">
                                                          <w:marLeft w:val="0"/>
                                                          <w:marRight w:val="0"/>
                                                          <w:marTop w:val="0"/>
                                                          <w:marBottom w:val="0"/>
                                                          <w:divBdr>
                                                            <w:top w:val="none" w:sz="0" w:space="0" w:color="auto"/>
                                                            <w:left w:val="none" w:sz="0" w:space="0" w:color="auto"/>
                                                            <w:bottom w:val="none" w:sz="0" w:space="0" w:color="auto"/>
                                                            <w:right w:val="none" w:sz="0" w:space="0" w:color="auto"/>
                                                          </w:divBdr>
                                                          <w:divsChild>
                                                            <w:div w:id="132836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01248">
                                                      <w:marLeft w:val="0"/>
                                                      <w:marRight w:val="0"/>
                                                      <w:marTop w:val="0"/>
                                                      <w:marBottom w:val="0"/>
                                                      <w:divBdr>
                                                        <w:top w:val="none" w:sz="0" w:space="0" w:color="auto"/>
                                                        <w:left w:val="none" w:sz="0" w:space="0" w:color="auto"/>
                                                        <w:bottom w:val="none" w:sz="0" w:space="0" w:color="auto"/>
                                                        <w:right w:val="none" w:sz="0" w:space="0" w:color="auto"/>
                                                      </w:divBdr>
                                                      <w:divsChild>
                                                        <w:div w:id="255018025">
                                                          <w:marLeft w:val="0"/>
                                                          <w:marRight w:val="0"/>
                                                          <w:marTop w:val="0"/>
                                                          <w:marBottom w:val="0"/>
                                                          <w:divBdr>
                                                            <w:top w:val="none" w:sz="0" w:space="0" w:color="auto"/>
                                                            <w:left w:val="none" w:sz="0" w:space="0" w:color="auto"/>
                                                            <w:bottom w:val="none" w:sz="0" w:space="0" w:color="auto"/>
                                                            <w:right w:val="none" w:sz="0" w:space="0" w:color="auto"/>
                                                          </w:divBdr>
                                                          <w:divsChild>
                                                            <w:div w:id="169780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1869">
                                                      <w:marLeft w:val="0"/>
                                                      <w:marRight w:val="0"/>
                                                      <w:marTop w:val="0"/>
                                                      <w:marBottom w:val="0"/>
                                                      <w:divBdr>
                                                        <w:top w:val="none" w:sz="0" w:space="0" w:color="auto"/>
                                                        <w:left w:val="none" w:sz="0" w:space="0" w:color="auto"/>
                                                        <w:bottom w:val="none" w:sz="0" w:space="0" w:color="auto"/>
                                                        <w:right w:val="none" w:sz="0" w:space="0" w:color="auto"/>
                                                      </w:divBdr>
                                                      <w:divsChild>
                                                        <w:div w:id="232859270">
                                                          <w:marLeft w:val="0"/>
                                                          <w:marRight w:val="0"/>
                                                          <w:marTop w:val="0"/>
                                                          <w:marBottom w:val="0"/>
                                                          <w:divBdr>
                                                            <w:top w:val="none" w:sz="0" w:space="0" w:color="auto"/>
                                                            <w:left w:val="none" w:sz="0" w:space="0" w:color="auto"/>
                                                            <w:bottom w:val="none" w:sz="0" w:space="0" w:color="auto"/>
                                                            <w:right w:val="none" w:sz="0" w:space="0" w:color="auto"/>
                                                          </w:divBdr>
                                                          <w:divsChild>
                                                            <w:div w:id="29290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8139079">
      <w:bodyDiv w:val="1"/>
      <w:marLeft w:val="0"/>
      <w:marRight w:val="0"/>
      <w:marTop w:val="0"/>
      <w:marBottom w:val="0"/>
      <w:divBdr>
        <w:top w:val="none" w:sz="0" w:space="0" w:color="auto"/>
        <w:left w:val="none" w:sz="0" w:space="0" w:color="auto"/>
        <w:bottom w:val="none" w:sz="0" w:space="0" w:color="auto"/>
        <w:right w:val="none" w:sz="0" w:space="0" w:color="auto"/>
      </w:divBdr>
    </w:div>
    <w:div w:id="527909132">
      <w:bodyDiv w:val="1"/>
      <w:marLeft w:val="0"/>
      <w:marRight w:val="0"/>
      <w:marTop w:val="0"/>
      <w:marBottom w:val="0"/>
      <w:divBdr>
        <w:top w:val="none" w:sz="0" w:space="0" w:color="auto"/>
        <w:left w:val="none" w:sz="0" w:space="0" w:color="auto"/>
        <w:bottom w:val="none" w:sz="0" w:space="0" w:color="auto"/>
        <w:right w:val="none" w:sz="0" w:space="0" w:color="auto"/>
      </w:divBdr>
      <w:divsChild>
        <w:div w:id="1176267160">
          <w:marLeft w:val="0"/>
          <w:marRight w:val="0"/>
          <w:marTop w:val="0"/>
          <w:marBottom w:val="0"/>
          <w:divBdr>
            <w:top w:val="none" w:sz="0" w:space="0" w:color="auto"/>
            <w:left w:val="none" w:sz="0" w:space="0" w:color="auto"/>
            <w:bottom w:val="none" w:sz="0" w:space="0" w:color="auto"/>
            <w:right w:val="none" w:sz="0" w:space="0" w:color="auto"/>
          </w:divBdr>
          <w:divsChild>
            <w:div w:id="1651515232">
              <w:marLeft w:val="0"/>
              <w:marRight w:val="0"/>
              <w:marTop w:val="0"/>
              <w:marBottom w:val="0"/>
              <w:divBdr>
                <w:top w:val="none" w:sz="0" w:space="0" w:color="auto"/>
                <w:left w:val="none" w:sz="0" w:space="0" w:color="auto"/>
                <w:bottom w:val="none" w:sz="0" w:space="0" w:color="auto"/>
                <w:right w:val="none" w:sz="0" w:space="0" w:color="auto"/>
              </w:divBdr>
              <w:divsChild>
                <w:div w:id="319697329">
                  <w:marLeft w:val="0"/>
                  <w:marRight w:val="0"/>
                  <w:marTop w:val="0"/>
                  <w:marBottom w:val="0"/>
                  <w:divBdr>
                    <w:top w:val="none" w:sz="0" w:space="0" w:color="auto"/>
                    <w:left w:val="none" w:sz="0" w:space="0" w:color="auto"/>
                    <w:bottom w:val="none" w:sz="0" w:space="0" w:color="auto"/>
                    <w:right w:val="none" w:sz="0" w:space="0" w:color="auto"/>
                  </w:divBdr>
                  <w:divsChild>
                    <w:div w:id="1819296553">
                      <w:marLeft w:val="0"/>
                      <w:marRight w:val="0"/>
                      <w:marTop w:val="0"/>
                      <w:marBottom w:val="0"/>
                      <w:divBdr>
                        <w:top w:val="none" w:sz="0" w:space="0" w:color="auto"/>
                        <w:left w:val="none" w:sz="0" w:space="0" w:color="auto"/>
                        <w:bottom w:val="none" w:sz="0" w:space="0" w:color="auto"/>
                        <w:right w:val="none" w:sz="0" w:space="0" w:color="auto"/>
                      </w:divBdr>
                      <w:divsChild>
                        <w:div w:id="1933198143">
                          <w:marLeft w:val="0"/>
                          <w:marRight w:val="0"/>
                          <w:marTop w:val="0"/>
                          <w:marBottom w:val="0"/>
                          <w:divBdr>
                            <w:top w:val="none" w:sz="0" w:space="0" w:color="auto"/>
                            <w:left w:val="none" w:sz="0" w:space="0" w:color="auto"/>
                            <w:bottom w:val="none" w:sz="0" w:space="0" w:color="auto"/>
                            <w:right w:val="none" w:sz="0" w:space="0" w:color="auto"/>
                          </w:divBdr>
                          <w:divsChild>
                            <w:div w:id="1861317766">
                              <w:marLeft w:val="0"/>
                              <w:marRight w:val="0"/>
                              <w:marTop w:val="0"/>
                              <w:marBottom w:val="0"/>
                              <w:divBdr>
                                <w:top w:val="none" w:sz="0" w:space="0" w:color="auto"/>
                                <w:left w:val="none" w:sz="0" w:space="0" w:color="auto"/>
                                <w:bottom w:val="none" w:sz="0" w:space="0" w:color="auto"/>
                                <w:right w:val="none" w:sz="0" w:space="0" w:color="auto"/>
                              </w:divBdr>
                              <w:divsChild>
                                <w:div w:id="272253119">
                                  <w:marLeft w:val="0"/>
                                  <w:marRight w:val="0"/>
                                  <w:marTop w:val="0"/>
                                  <w:marBottom w:val="0"/>
                                  <w:divBdr>
                                    <w:top w:val="none" w:sz="0" w:space="0" w:color="auto"/>
                                    <w:left w:val="none" w:sz="0" w:space="0" w:color="auto"/>
                                    <w:bottom w:val="none" w:sz="0" w:space="0" w:color="auto"/>
                                    <w:right w:val="none" w:sz="0" w:space="0" w:color="auto"/>
                                  </w:divBdr>
                                  <w:divsChild>
                                    <w:div w:id="372852181">
                                      <w:marLeft w:val="0"/>
                                      <w:marRight w:val="0"/>
                                      <w:marTop w:val="0"/>
                                      <w:marBottom w:val="0"/>
                                      <w:divBdr>
                                        <w:top w:val="none" w:sz="0" w:space="0" w:color="auto"/>
                                        <w:left w:val="none" w:sz="0" w:space="0" w:color="auto"/>
                                        <w:bottom w:val="none" w:sz="0" w:space="0" w:color="auto"/>
                                        <w:right w:val="none" w:sz="0" w:space="0" w:color="auto"/>
                                      </w:divBdr>
                                      <w:divsChild>
                                        <w:div w:id="1401246046">
                                          <w:marLeft w:val="0"/>
                                          <w:marRight w:val="0"/>
                                          <w:marTop w:val="0"/>
                                          <w:marBottom w:val="0"/>
                                          <w:divBdr>
                                            <w:top w:val="none" w:sz="0" w:space="0" w:color="auto"/>
                                            <w:left w:val="none" w:sz="0" w:space="0" w:color="auto"/>
                                            <w:bottom w:val="none" w:sz="0" w:space="0" w:color="auto"/>
                                            <w:right w:val="none" w:sz="0" w:space="0" w:color="auto"/>
                                          </w:divBdr>
                                          <w:divsChild>
                                            <w:div w:id="1377774187">
                                              <w:marLeft w:val="0"/>
                                              <w:marRight w:val="0"/>
                                              <w:marTop w:val="0"/>
                                              <w:marBottom w:val="0"/>
                                              <w:divBdr>
                                                <w:top w:val="none" w:sz="0" w:space="0" w:color="auto"/>
                                                <w:left w:val="none" w:sz="0" w:space="0" w:color="auto"/>
                                                <w:bottom w:val="none" w:sz="0" w:space="0" w:color="auto"/>
                                                <w:right w:val="none" w:sz="0" w:space="0" w:color="auto"/>
                                              </w:divBdr>
                                              <w:divsChild>
                                                <w:div w:id="95097039">
                                                  <w:marLeft w:val="0"/>
                                                  <w:marRight w:val="0"/>
                                                  <w:marTop w:val="0"/>
                                                  <w:marBottom w:val="0"/>
                                                  <w:divBdr>
                                                    <w:top w:val="none" w:sz="0" w:space="0" w:color="auto"/>
                                                    <w:left w:val="none" w:sz="0" w:space="0" w:color="auto"/>
                                                    <w:bottom w:val="none" w:sz="0" w:space="0" w:color="auto"/>
                                                    <w:right w:val="none" w:sz="0" w:space="0" w:color="auto"/>
                                                  </w:divBdr>
                                                  <w:divsChild>
                                                    <w:div w:id="610286326">
                                                      <w:marLeft w:val="0"/>
                                                      <w:marRight w:val="0"/>
                                                      <w:marTop w:val="0"/>
                                                      <w:marBottom w:val="0"/>
                                                      <w:divBdr>
                                                        <w:top w:val="none" w:sz="0" w:space="0" w:color="auto"/>
                                                        <w:left w:val="none" w:sz="0" w:space="0" w:color="auto"/>
                                                        <w:bottom w:val="none" w:sz="0" w:space="0" w:color="auto"/>
                                                        <w:right w:val="none" w:sz="0" w:space="0" w:color="auto"/>
                                                      </w:divBdr>
                                                      <w:divsChild>
                                                        <w:div w:id="249588440">
                                                          <w:marLeft w:val="0"/>
                                                          <w:marRight w:val="0"/>
                                                          <w:marTop w:val="0"/>
                                                          <w:marBottom w:val="0"/>
                                                          <w:divBdr>
                                                            <w:top w:val="none" w:sz="0" w:space="0" w:color="auto"/>
                                                            <w:left w:val="none" w:sz="0" w:space="0" w:color="auto"/>
                                                            <w:bottom w:val="none" w:sz="0" w:space="0" w:color="auto"/>
                                                            <w:right w:val="none" w:sz="0" w:space="0" w:color="auto"/>
                                                          </w:divBdr>
                                                          <w:divsChild>
                                                            <w:div w:id="826483708">
                                                              <w:marLeft w:val="0"/>
                                                              <w:marRight w:val="0"/>
                                                              <w:marTop w:val="0"/>
                                                              <w:marBottom w:val="0"/>
                                                              <w:divBdr>
                                                                <w:top w:val="none" w:sz="0" w:space="0" w:color="auto"/>
                                                                <w:left w:val="none" w:sz="0" w:space="0" w:color="auto"/>
                                                                <w:bottom w:val="none" w:sz="0" w:space="0" w:color="auto"/>
                                                                <w:right w:val="none" w:sz="0" w:space="0" w:color="auto"/>
                                                              </w:divBdr>
                                                              <w:divsChild>
                                                                <w:div w:id="46570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46593">
                                                          <w:marLeft w:val="0"/>
                                                          <w:marRight w:val="0"/>
                                                          <w:marTop w:val="0"/>
                                                          <w:marBottom w:val="0"/>
                                                          <w:divBdr>
                                                            <w:top w:val="none" w:sz="0" w:space="0" w:color="auto"/>
                                                            <w:left w:val="none" w:sz="0" w:space="0" w:color="auto"/>
                                                            <w:bottom w:val="none" w:sz="0" w:space="0" w:color="auto"/>
                                                            <w:right w:val="none" w:sz="0" w:space="0" w:color="auto"/>
                                                          </w:divBdr>
                                                          <w:divsChild>
                                                            <w:div w:id="1484345874">
                                                              <w:marLeft w:val="0"/>
                                                              <w:marRight w:val="0"/>
                                                              <w:marTop w:val="0"/>
                                                              <w:marBottom w:val="0"/>
                                                              <w:divBdr>
                                                                <w:top w:val="none" w:sz="0" w:space="0" w:color="auto"/>
                                                                <w:left w:val="none" w:sz="0" w:space="0" w:color="auto"/>
                                                                <w:bottom w:val="none" w:sz="0" w:space="0" w:color="auto"/>
                                                                <w:right w:val="none" w:sz="0" w:space="0" w:color="auto"/>
                                                              </w:divBdr>
                                                              <w:divsChild>
                                                                <w:div w:id="123623571">
                                                                  <w:marLeft w:val="0"/>
                                                                  <w:marRight w:val="0"/>
                                                                  <w:marTop w:val="0"/>
                                                                  <w:marBottom w:val="0"/>
                                                                  <w:divBdr>
                                                                    <w:top w:val="none" w:sz="0" w:space="0" w:color="auto"/>
                                                                    <w:left w:val="none" w:sz="0" w:space="0" w:color="auto"/>
                                                                    <w:bottom w:val="none" w:sz="0" w:space="0" w:color="auto"/>
                                                                    <w:right w:val="none" w:sz="0" w:space="0" w:color="auto"/>
                                                                  </w:divBdr>
                                                                </w:div>
                                                                <w:div w:id="1927111492">
                                                                  <w:marLeft w:val="0"/>
                                                                  <w:marRight w:val="0"/>
                                                                  <w:marTop w:val="0"/>
                                                                  <w:marBottom w:val="0"/>
                                                                  <w:divBdr>
                                                                    <w:top w:val="none" w:sz="0" w:space="0" w:color="auto"/>
                                                                    <w:left w:val="none" w:sz="0" w:space="0" w:color="auto"/>
                                                                    <w:bottom w:val="none" w:sz="0" w:space="0" w:color="auto"/>
                                                                    <w:right w:val="none" w:sz="0" w:space="0" w:color="auto"/>
                                                                  </w:divBdr>
                                                                  <w:divsChild>
                                                                    <w:div w:id="1158183043">
                                                                      <w:marLeft w:val="0"/>
                                                                      <w:marRight w:val="0"/>
                                                                      <w:marTop w:val="0"/>
                                                                      <w:marBottom w:val="0"/>
                                                                      <w:divBdr>
                                                                        <w:top w:val="none" w:sz="0" w:space="0" w:color="auto"/>
                                                                        <w:left w:val="none" w:sz="0" w:space="0" w:color="auto"/>
                                                                        <w:bottom w:val="none" w:sz="0" w:space="0" w:color="auto"/>
                                                                        <w:right w:val="none" w:sz="0" w:space="0" w:color="auto"/>
                                                                      </w:divBdr>
                                                                    </w:div>
                                                                  </w:divsChild>
                                                                </w:div>
                                                                <w:div w:id="1961767598">
                                                                  <w:marLeft w:val="0"/>
                                                                  <w:marRight w:val="0"/>
                                                                  <w:marTop w:val="0"/>
                                                                  <w:marBottom w:val="0"/>
                                                                  <w:divBdr>
                                                                    <w:top w:val="none" w:sz="0" w:space="0" w:color="auto"/>
                                                                    <w:left w:val="none" w:sz="0" w:space="0" w:color="auto"/>
                                                                    <w:bottom w:val="none" w:sz="0" w:space="0" w:color="auto"/>
                                                                    <w:right w:val="none" w:sz="0" w:space="0" w:color="auto"/>
                                                                  </w:divBdr>
                                                                  <w:divsChild>
                                                                    <w:div w:id="508493924">
                                                                      <w:marLeft w:val="0"/>
                                                                      <w:marRight w:val="0"/>
                                                                      <w:marTop w:val="0"/>
                                                                      <w:marBottom w:val="0"/>
                                                                      <w:divBdr>
                                                                        <w:top w:val="none" w:sz="0" w:space="0" w:color="auto"/>
                                                                        <w:left w:val="none" w:sz="0" w:space="0" w:color="auto"/>
                                                                        <w:bottom w:val="none" w:sz="0" w:space="0" w:color="auto"/>
                                                                        <w:right w:val="none" w:sz="0" w:space="0" w:color="auto"/>
                                                                      </w:divBdr>
                                                                    </w:div>
                                                                  </w:divsChild>
                                                                </w:div>
                                                                <w:div w:id="2082291262">
                                                                  <w:marLeft w:val="0"/>
                                                                  <w:marRight w:val="0"/>
                                                                  <w:marTop w:val="0"/>
                                                                  <w:marBottom w:val="0"/>
                                                                  <w:divBdr>
                                                                    <w:top w:val="none" w:sz="0" w:space="0" w:color="auto"/>
                                                                    <w:left w:val="none" w:sz="0" w:space="0" w:color="auto"/>
                                                                    <w:bottom w:val="none" w:sz="0" w:space="0" w:color="auto"/>
                                                                    <w:right w:val="none" w:sz="0" w:space="0" w:color="auto"/>
                                                                  </w:divBdr>
                                                                  <w:divsChild>
                                                                    <w:div w:id="157754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038685">
                                                          <w:marLeft w:val="0"/>
                                                          <w:marRight w:val="0"/>
                                                          <w:marTop w:val="0"/>
                                                          <w:marBottom w:val="0"/>
                                                          <w:divBdr>
                                                            <w:top w:val="none" w:sz="0" w:space="0" w:color="auto"/>
                                                            <w:left w:val="none" w:sz="0" w:space="0" w:color="auto"/>
                                                            <w:bottom w:val="none" w:sz="0" w:space="0" w:color="auto"/>
                                                            <w:right w:val="none" w:sz="0" w:space="0" w:color="auto"/>
                                                          </w:divBdr>
                                                          <w:divsChild>
                                                            <w:div w:id="965043245">
                                                              <w:marLeft w:val="0"/>
                                                              <w:marRight w:val="0"/>
                                                              <w:marTop w:val="0"/>
                                                              <w:marBottom w:val="0"/>
                                                              <w:divBdr>
                                                                <w:top w:val="none" w:sz="0" w:space="0" w:color="auto"/>
                                                                <w:left w:val="none" w:sz="0" w:space="0" w:color="auto"/>
                                                                <w:bottom w:val="none" w:sz="0" w:space="0" w:color="auto"/>
                                                                <w:right w:val="none" w:sz="0" w:space="0" w:color="auto"/>
                                                              </w:divBdr>
                                                              <w:divsChild>
                                                                <w:div w:id="240146024">
                                                                  <w:marLeft w:val="0"/>
                                                                  <w:marRight w:val="0"/>
                                                                  <w:marTop w:val="0"/>
                                                                  <w:marBottom w:val="0"/>
                                                                  <w:divBdr>
                                                                    <w:top w:val="none" w:sz="0" w:space="0" w:color="auto"/>
                                                                    <w:left w:val="none" w:sz="0" w:space="0" w:color="auto"/>
                                                                    <w:bottom w:val="none" w:sz="0" w:space="0" w:color="auto"/>
                                                                    <w:right w:val="none" w:sz="0" w:space="0" w:color="auto"/>
                                                                  </w:divBdr>
                                                                  <w:divsChild>
                                                                    <w:div w:id="1930001037">
                                                                      <w:marLeft w:val="0"/>
                                                                      <w:marRight w:val="0"/>
                                                                      <w:marTop w:val="0"/>
                                                                      <w:marBottom w:val="0"/>
                                                                      <w:divBdr>
                                                                        <w:top w:val="none" w:sz="0" w:space="0" w:color="auto"/>
                                                                        <w:left w:val="none" w:sz="0" w:space="0" w:color="auto"/>
                                                                        <w:bottom w:val="none" w:sz="0" w:space="0" w:color="auto"/>
                                                                        <w:right w:val="none" w:sz="0" w:space="0" w:color="auto"/>
                                                                      </w:divBdr>
                                                                    </w:div>
                                                                  </w:divsChild>
                                                                </w:div>
                                                                <w:div w:id="877398500">
                                                                  <w:marLeft w:val="0"/>
                                                                  <w:marRight w:val="0"/>
                                                                  <w:marTop w:val="0"/>
                                                                  <w:marBottom w:val="0"/>
                                                                  <w:divBdr>
                                                                    <w:top w:val="none" w:sz="0" w:space="0" w:color="auto"/>
                                                                    <w:left w:val="none" w:sz="0" w:space="0" w:color="auto"/>
                                                                    <w:bottom w:val="none" w:sz="0" w:space="0" w:color="auto"/>
                                                                    <w:right w:val="none" w:sz="0" w:space="0" w:color="auto"/>
                                                                  </w:divBdr>
                                                                  <w:divsChild>
                                                                    <w:div w:id="1331566421">
                                                                      <w:marLeft w:val="0"/>
                                                                      <w:marRight w:val="0"/>
                                                                      <w:marTop w:val="0"/>
                                                                      <w:marBottom w:val="0"/>
                                                                      <w:divBdr>
                                                                        <w:top w:val="none" w:sz="0" w:space="0" w:color="auto"/>
                                                                        <w:left w:val="none" w:sz="0" w:space="0" w:color="auto"/>
                                                                        <w:bottom w:val="none" w:sz="0" w:space="0" w:color="auto"/>
                                                                        <w:right w:val="none" w:sz="0" w:space="0" w:color="auto"/>
                                                                      </w:divBdr>
                                                                    </w:div>
                                                                  </w:divsChild>
                                                                </w:div>
                                                                <w:div w:id="1395005493">
                                                                  <w:marLeft w:val="0"/>
                                                                  <w:marRight w:val="0"/>
                                                                  <w:marTop w:val="0"/>
                                                                  <w:marBottom w:val="0"/>
                                                                  <w:divBdr>
                                                                    <w:top w:val="none" w:sz="0" w:space="0" w:color="auto"/>
                                                                    <w:left w:val="none" w:sz="0" w:space="0" w:color="auto"/>
                                                                    <w:bottom w:val="none" w:sz="0" w:space="0" w:color="auto"/>
                                                                    <w:right w:val="none" w:sz="0" w:space="0" w:color="auto"/>
                                                                  </w:divBdr>
                                                                  <w:divsChild>
                                                                    <w:div w:id="1615673467">
                                                                      <w:marLeft w:val="0"/>
                                                                      <w:marRight w:val="0"/>
                                                                      <w:marTop w:val="0"/>
                                                                      <w:marBottom w:val="0"/>
                                                                      <w:divBdr>
                                                                        <w:top w:val="none" w:sz="0" w:space="0" w:color="auto"/>
                                                                        <w:left w:val="none" w:sz="0" w:space="0" w:color="auto"/>
                                                                        <w:bottom w:val="none" w:sz="0" w:space="0" w:color="auto"/>
                                                                        <w:right w:val="none" w:sz="0" w:space="0" w:color="auto"/>
                                                                      </w:divBdr>
                                                                    </w:div>
                                                                  </w:divsChild>
                                                                </w:div>
                                                                <w:div w:id="1714110821">
                                                                  <w:marLeft w:val="0"/>
                                                                  <w:marRight w:val="0"/>
                                                                  <w:marTop w:val="0"/>
                                                                  <w:marBottom w:val="0"/>
                                                                  <w:divBdr>
                                                                    <w:top w:val="none" w:sz="0" w:space="0" w:color="auto"/>
                                                                    <w:left w:val="none" w:sz="0" w:space="0" w:color="auto"/>
                                                                    <w:bottom w:val="none" w:sz="0" w:space="0" w:color="auto"/>
                                                                    <w:right w:val="none" w:sz="0" w:space="0" w:color="auto"/>
                                                                  </w:divBdr>
                                                                </w:div>
                                                                <w:div w:id="1818952356">
                                                                  <w:marLeft w:val="0"/>
                                                                  <w:marRight w:val="0"/>
                                                                  <w:marTop w:val="0"/>
                                                                  <w:marBottom w:val="0"/>
                                                                  <w:divBdr>
                                                                    <w:top w:val="none" w:sz="0" w:space="0" w:color="auto"/>
                                                                    <w:left w:val="none" w:sz="0" w:space="0" w:color="auto"/>
                                                                    <w:bottom w:val="none" w:sz="0" w:space="0" w:color="auto"/>
                                                                    <w:right w:val="none" w:sz="0" w:space="0" w:color="auto"/>
                                                                  </w:divBdr>
                                                                  <w:divsChild>
                                                                    <w:div w:id="59716778">
                                                                      <w:marLeft w:val="0"/>
                                                                      <w:marRight w:val="0"/>
                                                                      <w:marTop w:val="0"/>
                                                                      <w:marBottom w:val="0"/>
                                                                      <w:divBdr>
                                                                        <w:top w:val="none" w:sz="0" w:space="0" w:color="auto"/>
                                                                        <w:left w:val="none" w:sz="0" w:space="0" w:color="auto"/>
                                                                        <w:bottom w:val="none" w:sz="0" w:space="0" w:color="auto"/>
                                                                        <w:right w:val="none" w:sz="0" w:space="0" w:color="auto"/>
                                                                      </w:divBdr>
                                                                    </w:div>
                                                                  </w:divsChild>
                                                                </w:div>
                                                                <w:div w:id="1972398607">
                                                                  <w:marLeft w:val="0"/>
                                                                  <w:marRight w:val="0"/>
                                                                  <w:marTop w:val="0"/>
                                                                  <w:marBottom w:val="0"/>
                                                                  <w:divBdr>
                                                                    <w:top w:val="none" w:sz="0" w:space="0" w:color="auto"/>
                                                                    <w:left w:val="none" w:sz="0" w:space="0" w:color="auto"/>
                                                                    <w:bottom w:val="none" w:sz="0" w:space="0" w:color="auto"/>
                                                                    <w:right w:val="none" w:sz="0" w:space="0" w:color="auto"/>
                                                                  </w:divBdr>
                                                                  <w:divsChild>
                                                                    <w:div w:id="17665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53947">
                                                          <w:marLeft w:val="0"/>
                                                          <w:marRight w:val="0"/>
                                                          <w:marTop w:val="0"/>
                                                          <w:marBottom w:val="0"/>
                                                          <w:divBdr>
                                                            <w:top w:val="none" w:sz="0" w:space="0" w:color="auto"/>
                                                            <w:left w:val="none" w:sz="0" w:space="0" w:color="auto"/>
                                                            <w:bottom w:val="none" w:sz="0" w:space="0" w:color="auto"/>
                                                            <w:right w:val="none" w:sz="0" w:space="0" w:color="auto"/>
                                                          </w:divBdr>
                                                          <w:divsChild>
                                                            <w:div w:id="1800604358">
                                                              <w:marLeft w:val="0"/>
                                                              <w:marRight w:val="0"/>
                                                              <w:marTop w:val="0"/>
                                                              <w:marBottom w:val="0"/>
                                                              <w:divBdr>
                                                                <w:top w:val="none" w:sz="0" w:space="0" w:color="auto"/>
                                                                <w:left w:val="none" w:sz="0" w:space="0" w:color="auto"/>
                                                                <w:bottom w:val="none" w:sz="0" w:space="0" w:color="auto"/>
                                                                <w:right w:val="none" w:sz="0" w:space="0" w:color="auto"/>
                                                              </w:divBdr>
                                                              <w:divsChild>
                                                                <w:div w:id="355665149">
                                                                  <w:marLeft w:val="0"/>
                                                                  <w:marRight w:val="0"/>
                                                                  <w:marTop w:val="0"/>
                                                                  <w:marBottom w:val="0"/>
                                                                  <w:divBdr>
                                                                    <w:top w:val="none" w:sz="0" w:space="0" w:color="auto"/>
                                                                    <w:left w:val="none" w:sz="0" w:space="0" w:color="auto"/>
                                                                    <w:bottom w:val="none" w:sz="0" w:space="0" w:color="auto"/>
                                                                    <w:right w:val="none" w:sz="0" w:space="0" w:color="auto"/>
                                                                  </w:divBdr>
                                                                  <w:divsChild>
                                                                    <w:div w:id="2122990480">
                                                                      <w:marLeft w:val="0"/>
                                                                      <w:marRight w:val="0"/>
                                                                      <w:marTop w:val="0"/>
                                                                      <w:marBottom w:val="0"/>
                                                                      <w:divBdr>
                                                                        <w:top w:val="none" w:sz="0" w:space="0" w:color="auto"/>
                                                                        <w:left w:val="none" w:sz="0" w:space="0" w:color="auto"/>
                                                                        <w:bottom w:val="none" w:sz="0" w:space="0" w:color="auto"/>
                                                                        <w:right w:val="none" w:sz="0" w:space="0" w:color="auto"/>
                                                                      </w:divBdr>
                                                                    </w:div>
                                                                  </w:divsChild>
                                                                </w:div>
                                                                <w:div w:id="396320677">
                                                                  <w:marLeft w:val="0"/>
                                                                  <w:marRight w:val="0"/>
                                                                  <w:marTop w:val="0"/>
                                                                  <w:marBottom w:val="0"/>
                                                                  <w:divBdr>
                                                                    <w:top w:val="none" w:sz="0" w:space="0" w:color="auto"/>
                                                                    <w:left w:val="none" w:sz="0" w:space="0" w:color="auto"/>
                                                                    <w:bottom w:val="none" w:sz="0" w:space="0" w:color="auto"/>
                                                                    <w:right w:val="none" w:sz="0" w:space="0" w:color="auto"/>
                                                                  </w:divBdr>
                                                                </w:div>
                                                                <w:div w:id="1101031078">
                                                                  <w:marLeft w:val="0"/>
                                                                  <w:marRight w:val="0"/>
                                                                  <w:marTop w:val="0"/>
                                                                  <w:marBottom w:val="0"/>
                                                                  <w:divBdr>
                                                                    <w:top w:val="none" w:sz="0" w:space="0" w:color="auto"/>
                                                                    <w:left w:val="none" w:sz="0" w:space="0" w:color="auto"/>
                                                                    <w:bottom w:val="none" w:sz="0" w:space="0" w:color="auto"/>
                                                                    <w:right w:val="none" w:sz="0" w:space="0" w:color="auto"/>
                                                                  </w:divBdr>
                                                                  <w:divsChild>
                                                                    <w:div w:id="1539707787">
                                                                      <w:marLeft w:val="0"/>
                                                                      <w:marRight w:val="0"/>
                                                                      <w:marTop w:val="0"/>
                                                                      <w:marBottom w:val="0"/>
                                                                      <w:divBdr>
                                                                        <w:top w:val="none" w:sz="0" w:space="0" w:color="auto"/>
                                                                        <w:left w:val="none" w:sz="0" w:space="0" w:color="auto"/>
                                                                        <w:bottom w:val="none" w:sz="0" w:space="0" w:color="auto"/>
                                                                        <w:right w:val="none" w:sz="0" w:space="0" w:color="auto"/>
                                                                      </w:divBdr>
                                                                    </w:div>
                                                                  </w:divsChild>
                                                                </w:div>
                                                                <w:div w:id="1476873328">
                                                                  <w:marLeft w:val="0"/>
                                                                  <w:marRight w:val="0"/>
                                                                  <w:marTop w:val="0"/>
                                                                  <w:marBottom w:val="0"/>
                                                                  <w:divBdr>
                                                                    <w:top w:val="none" w:sz="0" w:space="0" w:color="auto"/>
                                                                    <w:left w:val="none" w:sz="0" w:space="0" w:color="auto"/>
                                                                    <w:bottom w:val="none" w:sz="0" w:space="0" w:color="auto"/>
                                                                    <w:right w:val="none" w:sz="0" w:space="0" w:color="auto"/>
                                                                  </w:divBdr>
                                                                  <w:divsChild>
                                                                    <w:div w:id="93866842">
                                                                      <w:marLeft w:val="0"/>
                                                                      <w:marRight w:val="0"/>
                                                                      <w:marTop w:val="0"/>
                                                                      <w:marBottom w:val="0"/>
                                                                      <w:divBdr>
                                                                        <w:top w:val="none" w:sz="0" w:space="0" w:color="auto"/>
                                                                        <w:left w:val="none" w:sz="0" w:space="0" w:color="auto"/>
                                                                        <w:bottom w:val="none" w:sz="0" w:space="0" w:color="auto"/>
                                                                        <w:right w:val="none" w:sz="0" w:space="0" w:color="auto"/>
                                                                      </w:divBdr>
                                                                    </w:div>
                                                                  </w:divsChild>
                                                                </w:div>
                                                                <w:div w:id="2003972156">
                                                                  <w:marLeft w:val="0"/>
                                                                  <w:marRight w:val="0"/>
                                                                  <w:marTop w:val="0"/>
                                                                  <w:marBottom w:val="0"/>
                                                                  <w:divBdr>
                                                                    <w:top w:val="none" w:sz="0" w:space="0" w:color="auto"/>
                                                                    <w:left w:val="none" w:sz="0" w:space="0" w:color="auto"/>
                                                                    <w:bottom w:val="none" w:sz="0" w:space="0" w:color="auto"/>
                                                                    <w:right w:val="none" w:sz="0" w:space="0" w:color="auto"/>
                                                                  </w:divBdr>
                                                                  <w:divsChild>
                                                                    <w:div w:id="333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21600">
                                                          <w:marLeft w:val="0"/>
                                                          <w:marRight w:val="0"/>
                                                          <w:marTop w:val="0"/>
                                                          <w:marBottom w:val="0"/>
                                                          <w:divBdr>
                                                            <w:top w:val="none" w:sz="0" w:space="0" w:color="auto"/>
                                                            <w:left w:val="none" w:sz="0" w:space="0" w:color="auto"/>
                                                            <w:bottom w:val="none" w:sz="0" w:space="0" w:color="auto"/>
                                                            <w:right w:val="none" w:sz="0" w:space="0" w:color="auto"/>
                                                          </w:divBdr>
                                                          <w:divsChild>
                                                            <w:div w:id="1141311968">
                                                              <w:marLeft w:val="0"/>
                                                              <w:marRight w:val="0"/>
                                                              <w:marTop w:val="0"/>
                                                              <w:marBottom w:val="0"/>
                                                              <w:divBdr>
                                                                <w:top w:val="none" w:sz="0" w:space="0" w:color="auto"/>
                                                                <w:left w:val="none" w:sz="0" w:space="0" w:color="auto"/>
                                                                <w:bottom w:val="none" w:sz="0" w:space="0" w:color="auto"/>
                                                                <w:right w:val="none" w:sz="0" w:space="0" w:color="auto"/>
                                                              </w:divBdr>
                                                              <w:divsChild>
                                                                <w:div w:id="19632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2561">
                                                          <w:marLeft w:val="0"/>
                                                          <w:marRight w:val="0"/>
                                                          <w:marTop w:val="0"/>
                                                          <w:marBottom w:val="0"/>
                                                          <w:divBdr>
                                                            <w:top w:val="none" w:sz="0" w:space="0" w:color="auto"/>
                                                            <w:left w:val="none" w:sz="0" w:space="0" w:color="auto"/>
                                                            <w:bottom w:val="none" w:sz="0" w:space="0" w:color="auto"/>
                                                            <w:right w:val="none" w:sz="0" w:space="0" w:color="auto"/>
                                                          </w:divBdr>
                                                          <w:divsChild>
                                                            <w:div w:id="1308391308">
                                                              <w:marLeft w:val="0"/>
                                                              <w:marRight w:val="0"/>
                                                              <w:marTop w:val="0"/>
                                                              <w:marBottom w:val="0"/>
                                                              <w:divBdr>
                                                                <w:top w:val="none" w:sz="0" w:space="0" w:color="auto"/>
                                                                <w:left w:val="none" w:sz="0" w:space="0" w:color="auto"/>
                                                                <w:bottom w:val="none" w:sz="0" w:space="0" w:color="auto"/>
                                                                <w:right w:val="none" w:sz="0" w:space="0" w:color="auto"/>
                                                              </w:divBdr>
                                                              <w:divsChild>
                                                                <w:div w:id="396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4464137">
      <w:bodyDiv w:val="1"/>
      <w:marLeft w:val="0"/>
      <w:marRight w:val="0"/>
      <w:marTop w:val="0"/>
      <w:marBottom w:val="0"/>
      <w:divBdr>
        <w:top w:val="none" w:sz="0" w:space="0" w:color="auto"/>
        <w:left w:val="none" w:sz="0" w:space="0" w:color="auto"/>
        <w:bottom w:val="none" w:sz="0" w:space="0" w:color="auto"/>
        <w:right w:val="none" w:sz="0" w:space="0" w:color="auto"/>
      </w:divBdr>
    </w:div>
    <w:div w:id="775054757">
      <w:bodyDiv w:val="1"/>
      <w:marLeft w:val="0"/>
      <w:marRight w:val="0"/>
      <w:marTop w:val="0"/>
      <w:marBottom w:val="0"/>
      <w:divBdr>
        <w:top w:val="none" w:sz="0" w:space="0" w:color="auto"/>
        <w:left w:val="none" w:sz="0" w:space="0" w:color="auto"/>
        <w:bottom w:val="none" w:sz="0" w:space="0" w:color="auto"/>
        <w:right w:val="none" w:sz="0" w:space="0" w:color="auto"/>
      </w:divBdr>
    </w:div>
    <w:div w:id="801002652">
      <w:bodyDiv w:val="1"/>
      <w:marLeft w:val="0"/>
      <w:marRight w:val="0"/>
      <w:marTop w:val="0"/>
      <w:marBottom w:val="0"/>
      <w:divBdr>
        <w:top w:val="none" w:sz="0" w:space="0" w:color="auto"/>
        <w:left w:val="none" w:sz="0" w:space="0" w:color="auto"/>
        <w:bottom w:val="none" w:sz="0" w:space="0" w:color="auto"/>
        <w:right w:val="none" w:sz="0" w:space="0" w:color="auto"/>
      </w:divBdr>
    </w:div>
    <w:div w:id="1006637069">
      <w:bodyDiv w:val="1"/>
      <w:marLeft w:val="0"/>
      <w:marRight w:val="0"/>
      <w:marTop w:val="0"/>
      <w:marBottom w:val="0"/>
      <w:divBdr>
        <w:top w:val="none" w:sz="0" w:space="0" w:color="auto"/>
        <w:left w:val="none" w:sz="0" w:space="0" w:color="auto"/>
        <w:bottom w:val="none" w:sz="0" w:space="0" w:color="auto"/>
        <w:right w:val="none" w:sz="0" w:space="0" w:color="auto"/>
      </w:divBdr>
    </w:div>
    <w:div w:id="1045105816">
      <w:bodyDiv w:val="1"/>
      <w:marLeft w:val="0"/>
      <w:marRight w:val="0"/>
      <w:marTop w:val="0"/>
      <w:marBottom w:val="0"/>
      <w:divBdr>
        <w:top w:val="none" w:sz="0" w:space="0" w:color="auto"/>
        <w:left w:val="none" w:sz="0" w:space="0" w:color="auto"/>
        <w:bottom w:val="none" w:sz="0" w:space="0" w:color="auto"/>
        <w:right w:val="none" w:sz="0" w:space="0" w:color="auto"/>
      </w:divBdr>
    </w:div>
    <w:div w:id="1060402221">
      <w:bodyDiv w:val="1"/>
      <w:marLeft w:val="0"/>
      <w:marRight w:val="0"/>
      <w:marTop w:val="0"/>
      <w:marBottom w:val="0"/>
      <w:divBdr>
        <w:top w:val="none" w:sz="0" w:space="0" w:color="auto"/>
        <w:left w:val="none" w:sz="0" w:space="0" w:color="auto"/>
        <w:bottom w:val="none" w:sz="0" w:space="0" w:color="auto"/>
        <w:right w:val="none" w:sz="0" w:space="0" w:color="auto"/>
      </w:divBdr>
    </w:div>
    <w:div w:id="1092554989">
      <w:bodyDiv w:val="1"/>
      <w:marLeft w:val="0"/>
      <w:marRight w:val="0"/>
      <w:marTop w:val="0"/>
      <w:marBottom w:val="0"/>
      <w:divBdr>
        <w:top w:val="none" w:sz="0" w:space="0" w:color="auto"/>
        <w:left w:val="none" w:sz="0" w:space="0" w:color="auto"/>
        <w:bottom w:val="none" w:sz="0" w:space="0" w:color="auto"/>
        <w:right w:val="none" w:sz="0" w:space="0" w:color="auto"/>
      </w:divBdr>
    </w:div>
    <w:div w:id="1094088646">
      <w:bodyDiv w:val="1"/>
      <w:marLeft w:val="0"/>
      <w:marRight w:val="0"/>
      <w:marTop w:val="0"/>
      <w:marBottom w:val="0"/>
      <w:divBdr>
        <w:top w:val="none" w:sz="0" w:space="0" w:color="auto"/>
        <w:left w:val="none" w:sz="0" w:space="0" w:color="auto"/>
        <w:bottom w:val="none" w:sz="0" w:space="0" w:color="auto"/>
        <w:right w:val="none" w:sz="0" w:space="0" w:color="auto"/>
      </w:divBdr>
    </w:div>
    <w:div w:id="1190097112">
      <w:bodyDiv w:val="1"/>
      <w:marLeft w:val="0"/>
      <w:marRight w:val="0"/>
      <w:marTop w:val="0"/>
      <w:marBottom w:val="0"/>
      <w:divBdr>
        <w:top w:val="none" w:sz="0" w:space="0" w:color="auto"/>
        <w:left w:val="none" w:sz="0" w:space="0" w:color="auto"/>
        <w:bottom w:val="none" w:sz="0" w:space="0" w:color="auto"/>
        <w:right w:val="none" w:sz="0" w:space="0" w:color="auto"/>
      </w:divBdr>
    </w:div>
    <w:div w:id="1292321452">
      <w:bodyDiv w:val="1"/>
      <w:marLeft w:val="0"/>
      <w:marRight w:val="0"/>
      <w:marTop w:val="0"/>
      <w:marBottom w:val="0"/>
      <w:divBdr>
        <w:top w:val="none" w:sz="0" w:space="0" w:color="auto"/>
        <w:left w:val="none" w:sz="0" w:space="0" w:color="auto"/>
        <w:bottom w:val="none" w:sz="0" w:space="0" w:color="auto"/>
        <w:right w:val="none" w:sz="0" w:space="0" w:color="auto"/>
      </w:divBdr>
    </w:div>
    <w:div w:id="1368723075">
      <w:bodyDiv w:val="1"/>
      <w:marLeft w:val="0"/>
      <w:marRight w:val="0"/>
      <w:marTop w:val="0"/>
      <w:marBottom w:val="0"/>
      <w:divBdr>
        <w:top w:val="none" w:sz="0" w:space="0" w:color="auto"/>
        <w:left w:val="none" w:sz="0" w:space="0" w:color="auto"/>
        <w:bottom w:val="none" w:sz="0" w:space="0" w:color="auto"/>
        <w:right w:val="none" w:sz="0" w:space="0" w:color="auto"/>
      </w:divBdr>
    </w:div>
    <w:div w:id="1582831581">
      <w:bodyDiv w:val="1"/>
      <w:marLeft w:val="0"/>
      <w:marRight w:val="0"/>
      <w:marTop w:val="0"/>
      <w:marBottom w:val="0"/>
      <w:divBdr>
        <w:top w:val="none" w:sz="0" w:space="0" w:color="auto"/>
        <w:left w:val="none" w:sz="0" w:space="0" w:color="auto"/>
        <w:bottom w:val="none" w:sz="0" w:space="0" w:color="auto"/>
        <w:right w:val="none" w:sz="0" w:space="0" w:color="auto"/>
      </w:divBdr>
      <w:divsChild>
        <w:div w:id="689455825">
          <w:marLeft w:val="0"/>
          <w:marRight w:val="0"/>
          <w:marTop w:val="0"/>
          <w:marBottom w:val="0"/>
          <w:divBdr>
            <w:top w:val="none" w:sz="0" w:space="0" w:color="auto"/>
            <w:left w:val="none" w:sz="0" w:space="0" w:color="auto"/>
            <w:bottom w:val="none" w:sz="0" w:space="0" w:color="auto"/>
            <w:right w:val="none" w:sz="0" w:space="0" w:color="auto"/>
          </w:divBdr>
          <w:divsChild>
            <w:div w:id="1962371010">
              <w:marLeft w:val="0"/>
              <w:marRight w:val="0"/>
              <w:marTop w:val="0"/>
              <w:marBottom w:val="0"/>
              <w:divBdr>
                <w:top w:val="none" w:sz="0" w:space="0" w:color="auto"/>
                <w:left w:val="none" w:sz="0" w:space="0" w:color="auto"/>
                <w:bottom w:val="none" w:sz="0" w:space="0" w:color="auto"/>
                <w:right w:val="none" w:sz="0" w:space="0" w:color="auto"/>
              </w:divBdr>
              <w:divsChild>
                <w:div w:id="15232624">
                  <w:marLeft w:val="0"/>
                  <w:marRight w:val="0"/>
                  <w:marTop w:val="0"/>
                  <w:marBottom w:val="0"/>
                  <w:divBdr>
                    <w:top w:val="none" w:sz="0" w:space="0" w:color="auto"/>
                    <w:left w:val="none" w:sz="0" w:space="0" w:color="auto"/>
                    <w:bottom w:val="none" w:sz="0" w:space="0" w:color="auto"/>
                    <w:right w:val="none" w:sz="0" w:space="0" w:color="auto"/>
                  </w:divBdr>
                  <w:divsChild>
                    <w:div w:id="1227953313">
                      <w:marLeft w:val="0"/>
                      <w:marRight w:val="0"/>
                      <w:marTop w:val="0"/>
                      <w:marBottom w:val="0"/>
                      <w:divBdr>
                        <w:top w:val="none" w:sz="0" w:space="0" w:color="auto"/>
                        <w:left w:val="none" w:sz="0" w:space="0" w:color="auto"/>
                        <w:bottom w:val="none" w:sz="0" w:space="0" w:color="auto"/>
                        <w:right w:val="none" w:sz="0" w:space="0" w:color="auto"/>
                      </w:divBdr>
                      <w:divsChild>
                        <w:div w:id="1241212673">
                          <w:marLeft w:val="0"/>
                          <w:marRight w:val="0"/>
                          <w:marTop w:val="0"/>
                          <w:marBottom w:val="0"/>
                          <w:divBdr>
                            <w:top w:val="none" w:sz="0" w:space="0" w:color="auto"/>
                            <w:left w:val="none" w:sz="0" w:space="0" w:color="auto"/>
                            <w:bottom w:val="none" w:sz="0" w:space="0" w:color="auto"/>
                            <w:right w:val="none" w:sz="0" w:space="0" w:color="auto"/>
                          </w:divBdr>
                          <w:divsChild>
                            <w:div w:id="296955532">
                              <w:marLeft w:val="0"/>
                              <w:marRight w:val="0"/>
                              <w:marTop w:val="0"/>
                              <w:marBottom w:val="0"/>
                              <w:divBdr>
                                <w:top w:val="none" w:sz="0" w:space="0" w:color="auto"/>
                                <w:left w:val="none" w:sz="0" w:space="0" w:color="auto"/>
                                <w:bottom w:val="none" w:sz="0" w:space="0" w:color="auto"/>
                                <w:right w:val="none" w:sz="0" w:space="0" w:color="auto"/>
                              </w:divBdr>
                              <w:divsChild>
                                <w:div w:id="1414933464">
                                  <w:marLeft w:val="0"/>
                                  <w:marRight w:val="0"/>
                                  <w:marTop w:val="0"/>
                                  <w:marBottom w:val="0"/>
                                  <w:divBdr>
                                    <w:top w:val="none" w:sz="0" w:space="0" w:color="auto"/>
                                    <w:left w:val="none" w:sz="0" w:space="0" w:color="auto"/>
                                    <w:bottom w:val="none" w:sz="0" w:space="0" w:color="auto"/>
                                    <w:right w:val="none" w:sz="0" w:space="0" w:color="auto"/>
                                  </w:divBdr>
                                  <w:divsChild>
                                    <w:div w:id="101998898">
                                      <w:marLeft w:val="0"/>
                                      <w:marRight w:val="0"/>
                                      <w:marTop w:val="0"/>
                                      <w:marBottom w:val="0"/>
                                      <w:divBdr>
                                        <w:top w:val="none" w:sz="0" w:space="0" w:color="auto"/>
                                        <w:left w:val="none" w:sz="0" w:space="0" w:color="auto"/>
                                        <w:bottom w:val="none" w:sz="0" w:space="0" w:color="auto"/>
                                        <w:right w:val="none" w:sz="0" w:space="0" w:color="auto"/>
                                      </w:divBdr>
                                      <w:divsChild>
                                        <w:div w:id="133379302">
                                          <w:marLeft w:val="0"/>
                                          <w:marRight w:val="0"/>
                                          <w:marTop w:val="0"/>
                                          <w:marBottom w:val="0"/>
                                          <w:divBdr>
                                            <w:top w:val="none" w:sz="0" w:space="0" w:color="auto"/>
                                            <w:left w:val="none" w:sz="0" w:space="0" w:color="auto"/>
                                            <w:bottom w:val="none" w:sz="0" w:space="0" w:color="auto"/>
                                            <w:right w:val="none" w:sz="0" w:space="0" w:color="auto"/>
                                          </w:divBdr>
                                          <w:divsChild>
                                            <w:div w:id="1556967545">
                                              <w:marLeft w:val="0"/>
                                              <w:marRight w:val="0"/>
                                              <w:marTop w:val="0"/>
                                              <w:marBottom w:val="0"/>
                                              <w:divBdr>
                                                <w:top w:val="none" w:sz="0" w:space="0" w:color="auto"/>
                                                <w:left w:val="none" w:sz="0" w:space="0" w:color="auto"/>
                                                <w:bottom w:val="none" w:sz="0" w:space="0" w:color="auto"/>
                                                <w:right w:val="none" w:sz="0" w:space="0" w:color="auto"/>
                                              </w:divBdr>
                                              <w:divsChild>
                                                <w:div w:id="61310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7505279">
      <w:bodyDiv w:val="1"/>
      <w:marLeft w:val="0"/>
      <w:marRight w:val="0"/>
      <w:marTop w:val="0"/>
      <w:marBottom w:val="0"/>
      <w:divBdr>
        <w:top w:val="none" w:sz="0" w:space="0" w:color="auto"/>
        <w:left w:val="none" w:sz="0" w:space="0" w:color="auto"/>
        <w:bottom w:val="none" w:sz="0" w:space="0" w:color="auto"/>
        <w:right w:val="none" w:sz="0" w:space="0" w:color="auto"/>
      </w:divBdr>
    </w:div>
    <w:div w:id="1731077523">
      <w:bodyDiv w:val="1"/>
      <w:marLeft w:val="0"/>
      <w:marRight w:val="0"/>
      <w:marTop w:val="0"/>
      <w:marBottom w:val="0"/>
      <w:divBdr>
        <w:top w:val="none" w:sz="0" w:space="0" w:color="auto"/>
        <w:left w:val="none" w:sz="0" w:space="0" w:color="auto"/>
        <w:bottom w:val="none" w:sz="0" w:space="0" w:color="auto"/>
        <w:right w:val="none" w:sz="0" w:space="0" w:color="auto"/>
      </w:divBdr>
    </w:div>
    <w:div w:id="1753621652">
      <w:bodyDiv w:val="1"/>
      <w:marLeft w:val="0"/>
      <w:marRight w:val="0"/>
      <w:marTop w:val="0"/>
      <w:marBottom w:val="0"/>
      <w:divBdr>
        <w:top w:val="none" w:sz="0" w:space="0" w:color="auto"/>
        <w:left w:val="none" w:sz="0" w:space="0" w:color="auto"/>
        <w:bottom w:val="none" w:sz="0" w:space="0" w:color="auto"/>
        <w:right w:val="none" w:sz="0" w:space="0" w:color="auto"/>
      </w:divBdr>
    </w:div>
    <w:div w:id="1779520730">
      <w:bodyDiv w:val="1"/>
      <w:marLeft w:val="0"/>
      <w:marRight w:val="0"/>
      <w:marTop w:val="0"/>
      <w:marBottom w:val="0"/>
      <w:divBdr>
        <w:top w:val="none" w:sz="0" w:space="0" w:color="auto"/>
        <w:left w:val="none" w:sz="0" w:space="0" w:color="auto"/>
        <w:bottom w:val="none" w:sz="0" w:space="0" w:color="auto"/>
        <w:right w:val="none" w:sz="0" w:space="0" w:color="auto"/>
      </w:divBdr>
    </w:div>
    <w:div w:id="2001762755">
      <w:bodyDiv w:val="1"/>
      <w:marLeft w:val="0"/>
      <w:marRight w:val="0"/>
      <w:marTop w:val="0"/>
      <w:marBottom w:val="0"/>
      <w:divBdr>
        <w:top w:val="none" w:sz="0" w:space="0" w:color="auto"/>
        <w:left w:val="none" w:sz="0" w:space="0" w:color="auto"/>
        <w:bottom w:val="none" w:sz="0" w:space="0" w:color="auto"/>
        <w:right w:val="none" w:sz="0" w:space="0" w:color="auto"/>
      </w:divBdr>
    </w:div>
    <w:div w:id="2034837708">
      <w:bodyDiv w:val="1"/>
      <w:marLeft w:val="0"/>
      <w:marRight w:val="0"/>
      <w:marTop w:val="0"/>
      <w:marBottom w:val="0"/>
      <w:divBdr>
        <w:top w:val="none" w:sz="0" w:space="0" w:color="auto"/>
        <w:left w:val="none" w:sz="0" w:space="0" w:color="auto"/>
        <w:bottom w:val="none" w:sz="0" w:space="0" w:color="auto"/>
        <w:right w:val="none" w:sz="0" w:space="0" w:color="auto"/>
      </w:divBdr>
    </w:div>
    <w:div w:id="2047561103">
      <w:bodyDiv w:val="1"/>
      <w:marLeft w:val="0"/>
      <w:marRight w:val="0"/>
      <w:marTop w:val="0"/>
      <w:marBottom w:val="0"/>
      <w:divBdr>
        <w:top w:val="none" w:sz="0" w:space="0" w:color="auto"/>
        <w:left w:val="none" w:sz="0" w:space="0" w:color="auto"/>
        <w:bottom w:val="none" w:sz="0" w:space="0" w:color="auto"/>
        <w:right w:val="none" w:sz="0" w:space="0" w:color="auto"/>
      </w:divBdr>
    </w:div>
    <w:div w:id="2095395781">
      <w:bodyDiv w:val="1"/>
      <w:marLeft w:val="0"/>
      <w:marRight w:val="0"/>
      <w:marTop w:val="0"/>
      <w:marBottom w:val="0"/>
      <w:divBdr>
        <w:top w:val="none" w:sz="0" w:space="0" w:color="auto"/>
        <w:left w:val="none" w:sz="0" w:space="0" w:color="auto"/>
        <w:bottom w:val="none" w:sz="0" w:space="0" w:color="auto"/>
        <w:right w:val="none" w:sz="0" w:space="0" w:color="auto"/>
      </w:divBdr>
      <w:divsChild>
        <w:div w:id="1967226879">
          <w:marLeft w:val="0"/>
          <w:marRight w:val="0"/>
          <w:marTop w:val="0"/>
          <w:marBottom w:val="0"/>
          <w:divBdr>
            <w:top w:val="none" w:sz="0" w:space="0" w:color="auto"/>
            <w:left w:val="none" w:sz="0" w:space="0" w:color="auto"/>
            <w:bottom w:val="none" w:sz="0" w:space="0" w:color="auto"/>
            <w:right w:val="none" w:sz="0" w:space="0" w:color="auto"/>
          </w:divBdr>
          <w:divsChild>
            <w:div w:id="1964337873">
              <w:marLeft w:val="0"/>
              <w:marRight w:val="0"/>
              <w:marTop w:val="0"/>
              <w:marBottom w:val="0"/>
              <w:divBdr>
                <w:top w:val="none" w:sz="0" w:space="0" w:color="auto"/>
                <w:left w:val="none" w:sz="0" w:space="0" w:color="auto"/>
                <w:bottom w:val="none" w:sz="0" w:space="0" w:color="auto"/>
                <w:right w:val="none" w:sz="0" w:space="0" w:color="auto"/>
              </w:divBdr>
              <w:divsChild>
                <w:div w:id="2067141009">
                  <w:marLeft w:val="0"/>
                  <w:marRight w:val="0"/>
                  <w:marTop w:val="0"/>
                  <w:marBottom w:val="0"/>
                  <w:divBdr>
                    <w:top w:val="none" w:sz="0" w:space="0" w:color="auto"/>
                    <w:left w:val="none" w:sz="0" w:space="0" w:color="auto"/>
                    <w:bottom w:val="none" w:sz="0" w:space="0" w:color="auto"/>
                    <w:right w:val="none" w:sz="0" w:space="0" w:color="auto"/>
                  </w:divBdr>
                  <w:divsChild>
                    <w:div w:id="1176075856">
                      <w:marLeft w:val="0"/>
                      <w:marRight w:val="0"/>
                      <w:marTop w:val="0"/>
                      <w:marBottom w:val="0"/>
                      <w:divBdr>
                        <w:top w:val="none" w:sz="0" w:space="0" w:color="auto"/>
                        <w:left w:val="none" w:sz="0" w:space="0" w:color="auto"/>
                        <w:bottom w:val="none" w:sz="0" w:space="0" w:color="auto"/>
                        <w:right w:val="none" w:sz="0" w:space="0" w:color="auto"/>
                      </w:divBdr>
                      <w:divsChild>
                        <w:div w:id="1255436644">
                          <w:marLeft w:val="0"/>
                          <w:marRight w:val="0"/>
                          <w:marTop w:val="0"/>
                          <w:marBottom w:val="0"/>
                          <w:divBdr>
                            <w:top w:val="none" w:sz="0" w:space="0" w:color="auto"/>
                            <w:left w:val="none" w:sz="0" w:space="0" w:color="auto"/>
                            <w:bottom w:val="none" w:sz="0" w:space="0" w:color="auto"/>
                            <w:right w:val="none" w:sz="0" w:space="0" w:color="auto"/>
                          </w:divBdr>
                          <w:divsChild>
                            <w:div w:id="723333789">
                              <w:marLeft w:val="0"/>
                              <w:marRight w:val="0"/>
                              <w:marTop w:val="0"/>
                              <w:marBottom w:val="0"/>
                              <w:divBdr>
                                <w:top w:val="none" w:sz="0" w:space="0" w:color="auto"/>
                                <w:left w:val="none" w:sz="0" w:space="0" w:color="auto"/>
                                <w:bottom w:val="none" w:sz="0" w:space="0" w:color="auto"/>
                                <w:right w:val="none" w:sz="0" w:space="0" w:color="auto"/>
                              </w:divBdr>
                              <w:divsChild>
                                <w:div w:id="1254507022">
                                  <w:marLeft w:val="0"/>
                                  <w:marRight w:val="0"/>
                                  <w:marTop w:val="0"/>
                                  <w:marBottom w:val="0"/>
                                  <w:divBdr>
                                    <w:top w:val="none" w:sz="0" w:space="0" w:color="auto"/>
                                    <w:left w:val="none" w:sz="0" w:space="0" w:color="auto"/>
                                    <w:bottom w:val="none" w:sz="0" w:space="0" w:color="auto"/>
                                    <w:right w:val="none" w:sz="0" w:space="0" w:color="auto"/>
                                  </w:divBdr>
                                  <w:divsChild>
                                    <w:div w:id="810752017">
                                      <w:marLeft w:val="0"/>
                                      <w:marRight w:val="0"/>
                                      <w:marTop w:val="0"/>
                                      <w:marBottom w:val="0"/>
                                      <w:divBdr>
                                        <w:top w:val="none" w:sz="0" w:space="0" w:color="auto"/>
                                        <w:left w:val="none" w:sz="0" w:space="0" w:color="auto"/>
                                        <w:bottom w:val="none" w:sz="0" w:space="0" w:color="auto"/>
                                        <w:right w:val="none" w:sz="0" w:space="0" w:color="auto"/>
                                      </w:divBdr>
                                      <w:divsChild>
                                        <w:div w:id="728572595">
                                          <w:marLeft w:val="0"/>
                                          <w:marRight w:val="0"/>
                                          <w:marTop w:val="0"/>
                                          <w:marBottom w:val="0"/>
                                          <w:divBdr>
                                            <w:top w:val="none" w:sz="0" w:space="0" w:color="auto"/>
                                            <w:left w:val="none" w:sz="0" w:space="0" w:color="auto"/>
                                            <w:bottom w:val="none" w:sz="0" w:space="0" w:color="auto"/>
                                            <w:right w:val="none" w:sz="0" w:space="0" w:color="auto"/>
                                          </w:divBdr>
                                          <w:divsChild>
                                            <w:div w:id="756173080">
                                              <w:marLeft w:val="0"/>
                                              <w:marRight w:val="0"/>
                                              <w:marTop w:val="0"/>
                                              <w:marBottom w:val="0"/>
                                              <w:divBdr>
                                                <w:top w:val="none" w:sz="0" w:space="0" w:color="auto"/>
                                                <w:left w:val="none" w:sz="0" w:space="0" w:color="auto"/>
                                                <w:bottom w:val="none" w:sz="0" w:space="0" w:color="auto"/>
                                                <w:right w:val="none" w:sz="0" w:space="0" w:color="auto"/>
                                              </w:divBdr>
                                              <w:divsChild>
                                                <w:div w:id="1381976908">
                                                  <w:marLeft w:val="0"/>
                                                  <w:marRight w:val="0"/>
                                                  <w:marTop w:val="0"/>
                                                  <w:marBottom w:val="0"/>
                                                  <w:divBdr>
                                                    <w:top w:val="none" w:sz="0" w:space="0" w:color="auto"/>
                                                    <w:left w:val="none" w:sz="0" w:space="0" w:color="auto"/>
                                                    <w:bottom w:val="none" w:sz="0" w:space="0" w:color="auto"/>
                                                    <w:right w:val="none" w:sz="0" w:space="0" w:color="auto"/>
                                                  </w:divBdr>
                                                  <w:divsChild>
                                                    <w:div w:id="989554558">
                                                      <w:marLeft w:val="0"/>
                                                      <w:marRight w:val="0"/>
                                                      <w:marTop w:val="0"/>
                                                      <w:marBottom w:val="0"/>
                                                      <w:divBdr>
                                                        <w:top w:val="none" w:sz="0" w:space="0" w:color="auto"/>
                                                        <w:left w:val="none" w:sz="0" w:space="0" w:color="auto"/>
                                                        <w:bottom w:val="none" w:sz="0" w:space="0" w:color="auto"/>
                                                        <w:right w:val="none" w:sz="0" w:space="0" w:color="auto"/>
                                                      </w:divBdr>
                                                    </w:div>
                                                    <w:div w:id="891235790">
                                                      <w:marLeft w:val="0"/>
                                                      <w:marRight w:val="0"/>
                                                      <w:marTop w:val="0"/>
                                                      <w:marBottom w:val="0"/>
                                                      <w:divBdr>
                                                        <w:top w:val="none" w:sz="0" w:space="0" w:color="auto"/>
                                                        <w:left w:val="none" w:sz="0" w:space="0" w:color="auto"/>
                                                        <w:bottom w:val="none" w:sz="0" w:space="0" w:color="auto"/>
                                                        <w:right w:val="none" w:sz="0" w:space="0" w:color="auto"/>
                                                      </w:divBdr>
                                                      <w:divsChild>
                                                        <w:div w:id="345013775">
                                                          <w:marLeft w:val="0"/>
                                                          <w:marRight w:val="0"/>
                                                          <w:marTop w:val="0"/>
                                                          <w:marBottom w:val="0"/>
                                                          <w:divBdr>
                                                            <w:top w:val="none" w:sz="0" w:space="0" w:color="auto"/>
                                                            <w:left w:val="none" w:sz="0" w:space="0" w:color="auto"/>
                                                            <w:bottom w:val="none" w:sz="0" w:space="0" w:color="auto"/>
                                                            <w:right w:val="none" w:sz="0" w:space="0" w:color="auto"/>
                                                          </w:divBdr>
                                                          <w:divsChild>
                                                            <w:div w:id="9833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14269">
                                                      <w:marLeft w:val="0"/>
                                                      <w:marRight w:val="0"/>
                                                      <w:marTop w:val="0"/>
                                                      <w:marBottom w:val="0"/>
                                                      <w:divBdr>
                                                        <w:top w:val="none" w:sz="0" w:space="0" w:color="auto"/>
                                                        <w:left w:val="none" w:sz="0" w:space="0" w:color="auto"/>
                                                        <w:bottom w:val="none" w:sz="0" w:space="0" w:color="auto"/>
                                                        <w:right w:val="none" w:sz="0" w:space="0" w:color="auto"/>
                                                      </w:divBdr>
                                                      <w:divsChild>
                                                        <w:div w:id="888878640">
                                                          <w:marLeft w:val="0"/>
                                                          <w:marRight w:val="0"/>
                                                          <w:marTop w:val="0"/>
                                                          <w:marBottom w:val="0"/>
                                                          <w:divBdr>
                                                            <w:top w:val="none" w:sz="0" w:space="0" w:color="auto"/>
                                                            <w:left w:val="none" w:sz="0" w:space="0" w:color="auto"/>
                                                            <w:bottom w:val="none" w:sz="0" w:space="0" w:color="auto"/>
                                                            <w:right w:val="none" w:sz="0" w:space="0" w:color="auto"/>
                                                          </w:divBdr>
                                                          <w:divsChild>
                                                            <w:div w:id="13627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18066">
                                                      <w:marLeft w:val="0"/>
                                                      <w:marRight w:val="0"/>
                                                      <w:marTop w:val="0"/>
                                                      <w:marBottom w:val="0"/>
                                                      <w:divBdr>
                                                        <w:top w:val="none" w:sz="0" w:space="0" w:color="auto"/>
                                                        <w:left w:val="none" w:sz="0" w:space="0" w:color="auto"/>
                                                        <w:bottom w:val="none" w:sz="0" w:space="0" w:color="auto"/>
                                                        <w:right w:val="none" w:sz="0" w:space="0" w:color="auto"/>
                                                      </w:divBdr>
                                                      <w:divsChild>
                                                        <w:div w:id="520630145">
                                                          <w:marLeft w:val="0"/>
                                                          <w:marRight w:val="0"/>
                                                          <w:marTop w:val="0"/>
                                                          <w:marBottom w:val="0"/>
                                                          <w:divBdr>
                                                            <w:top w:val="none" w:sz="0" w:space="0" w:color="auto"/>
                                                            <w:left w:val="none" w:sz="0" w:space="0" w:color="auto"/>
                                                            <w:bottom w:val="none" w:sz="0" w:space="0" w:color="auto"/>
                                                            <w:right w:val="none" w:sz="0" w:space="0" w:color="auto"/>
                                                          </w:divBdr>
                                                          <w:divsChild>
                                                            <w:div w:id="174379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2784">
                                                      <w:marLeft w:val="0"/>
                                                      <w:marRight w:val="0"/>
                                                      <w:marTop w:val="0"/>
                                                      <w:marBottom w:val="0"/>
                                                      <w:divBdr>
                                                        <w:top w:val="none" w:sz="0" w:space="0" w:color="auto"/>
                                                        <w:left w:val="none" w:sz="0" w:space="0" w:color="auto"/>
                                                        <w:bottom w:val="none" w:sz="0" w:space="0" w:color="auto"/>
                                                        <w:right w:val="none" w:sz="0" w:space="0" w:color="auto"/>
                                                      </w:divBdr>
                                                      <w:divsChild>
                                                        <w:div w:id="690572528">
                                                          <w:marLeft w:val="0"/>
                                                          <w:marRight w:val="0"/>
                                                          <w:marTop w:val="0"/>
                                                          <w:marBottom w:val="0"/>
                                                          <w:divBdr>
                                                            <w:top w:val="none" w:sz="0" w:space="0" w:color="auto"/>
                                                            <w:left w:val="none" w:sz="0" w:space="0" w:color="auto"/>
                                                            <w:bottom w:val="none" w:sz="0" w:space="0" w:color="auto"/>
                                                            <w:right w:val="none" w:sz="0" w:space="0" w:color="auto"/>
                                                          </w:divBdr>
                                                          <w:divsChild>
                                                            <w:div w:id="194225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14">
                                                      <w:marLeft w:val="0"/>
                                                      <w:marRight w:val="0"/>
                                                      <w:marTop w:val="0"/>
                                                      <w:marBottom w:val="0"/>
                                                      <w:divBdr>
                                                        <w:top w:val="none" w:sz="0" w:space="0" w:color="auto"/>
                                                        <w:left w:val="none" w:sz="0" w:space="0" w:color="auto"/>
                                                        <w:bottom w:val="none" w:sz="0" w:space="0" w:color="auto"/>
                                                        <w:right w:val="none" w:sz="0" w:space="0" w:color="auto"/>
                                                      </w:divBdr>
                                                      <w:divsChild>
                                                        <w:div w:id="762998346">
                                                          <w:marLeft w:val="0"/>
                                                          <w:marRight w:val="0"/>
                                                          <w:marTop w:val="0"/>
                                                          <w:marBottom w:val="0"/>
                                                          <w:divBdr>
                                                            <w:top w:val="none" w:sz="0" w:space="0" w:color="auto"/>
                                                            <w:left w:val="none" w:sz="0" w:space="0" w:color="auto"/>
                                                            <w:bottom w:val="none" w:sz="0" w:space="0" w:color="auto"/>
                                                            <w:right w:val="none" w:sz="0" w:space="0" w:color="auto"/>
                                                          </w:divBdr>
                                                          <w:divsChild>
                                                            <w:div w:id="62254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7679">
                                                      <w:marLeft w:val="0"/>
                                                      <w:marRight w:val="0"/>
                                                      <w:marTop w:val="0"/>
                                                      <w:marBottom w:val="0"/>
                                                      <w:divBdr>
                                                        <w:top w:val="none" w:sz="0" w:space="0" w:color="auto"/>
                                                        <w:left w:val="none" w:sz="0" w:space="0" w:color="auto"/>
                                                        <w:bottom w:val="none" w:sz="0" w:space="0" w:color="auto"/>
                                                        <w:right w:val="none" w:sz="0" w:space="0" w:color="auto"/>
                                                      </w:divBdr>
                                                      <w:divsChild>
                                                        <w:div w:id="242371490">
                                                          <w:marLeft w:val="0"/>
                                                          <w:marRight w:val="0"/>
                                                          <w:marTop w:val="0"/>
                                                          <w:marBottom w:val="0"/>
                                                          <w:divBdr>
                                                            <w:top w:val="none" w:sz="0" w:space="0" w:color="auto"/>
                                                            <w:left w:val="none" w:sz="0" w:space="0" w:color="auto"/>
                                                            <w:bottom w:val="none" w:sz="0" w:space="0" w:color="auto"/>
                                                            <w:right w:val="none" w:sz="0" w:space="0" w:color="auto"/>
                                                          </w:divBdr>
                                                          <w:divsChild>
                                                            <w:div w:id="93304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67003">
                                                      <w:marLeft w:val="0"/>
                                                      <w:marRight w:val="0"/>
                                                      <w:marTop w:val="0"/>
                                                      <w:marBottom w:val="0"/>
                                                      <w:divBdr>
                                                        <w:top w:val="none" w:sz="0" w:space="0" w:color="auto"/>
                                                        <w:left w:val="none" w:sz="0" w:space="0" w:color="auto"/>
                                                        <w:bottom w:val="none" w:sz="0" w:space="0" w:color="auto"/>
                                                        <w:right w:val="none" w:sz="0" w:space="0" w:color="auto"/>
                                                      </w:divBdr>
                                                      <w:divsChild>
                                                        <w:div w:id="637999507">
                                                          <w:marLeft w:val="0"/>
                                                          <w:marRight w:val="0"/>
                                                          <w:marTop w:val="0"/>
                                                          <w:marBottom w:val="0"/>
                                                          <w:divBdr>
                                                            <w:top w:val="none" w:sz="0" w:space="0" w:color="auto"/>
                                                            <w:left w:val="none" w:sz="0" w:space="0" w:color="auto"/>
                                                            <w:bottom w:val="none" w:sz="0" w:space="0" w:color="auto"/>
                                                            <w:right w:val="none" w:sz="0" w:space="0" w:color="auto"/>
                                                          </w:divBdr>
                                                          <w:divsChild>
                                                            <w:div w:id="13948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62">
                                                      <w:marLeft w:val="0"/>
                                                      <w:marRight w:val="0"/>
                                                      <w:marTop w:val="0"/>
                                                      <w:marBottom w:val="0"/>
                                                      <w:divBdr>
                                                        <w:top w:val="none" w:sz="0" w:space="0" w:color="auto"/>
                                                        <w:left w:val="none" w:sz="0" w:space="0" w:color="auto"/>
                                                        <w:bottom w:val="none" w:sz="0" w:space="0" w:color="auto"/>
                                                        <w:right w:val="none" w:sz="0" w:space="0" w:color="auto"/>
                                                      </w:divBdr>
                                                      <w:divsChild>
                                                        <w:div w:id="577130998">
                                                          <w:marLeft w:val="0"/>
                                                          <w:marRight w:val="0"/>
                                                          <w:marTop w:val="0"/>
                                                          <w:marBottom w:val="0"/>
                                                          <w:divBdr>
                                                            <w:top w:val="none" w:sz="0" w:space="0" w:color="auto"/>
                                                            <w:left w:val="none" w:sz="0" w:space="0" w:color="auto"/>
                                                            <w:bottom w:val="none" w:sz="0" w:space="0" w:color="auto"/>
                                                            <w:right w:val="none" w:sz="0" w:space="0" w:color="auto"/>
                                                          </w:divBdr>
                                                          <w:divsChild>
                                                            <w:div w:id="5703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7795">
                                                      <w:marLeft w:val="0"/>
                                                      <w:marRight w:val="0"/>
                                                      <w:marTop w:val="0"/>
                                                      <w:marBottom w:val="0"/>
                                                      <w:divBdr>
                                                        <w:top w:val="none" w:sz="0" w:space="0" w:color="auto"/>
                                                        <w:left w:val="none" w:sz="0" w:space="0" w:color="auto"/>
                                                        <w:bottom w:val="none" w:sz="0" w:space="0" w:color="auto"/>
                                                        <w:right w:val="none" w:sz="0" w:space="0" w:color="auto"/>
                                                      </w:divBdr>
                                                      <w:divsChild>
                                                        <w:div w:id="394358548">
                                                          <w:marLeft w:val="0"/>
                                                          <w:marRight w:val="0"/>
                                                          <w:marTop w:val="0"/>
                                                          <w:marBottom w:val="0"/>
                                                          <w:divBdr>
                                                            <w:top w:val="none" w:sz="0" w:space="0" w:color="auto"/>
                                                            <w:left w:val="none" w:sz="0" w:space="0" w:color="auto"/>
                                                            <w:bottom w:val="none" w:sz="0" w:space="0" w:color="auto"/>
                                                            <w:right w:val="none" w:sz="0" w:space="0" w:color="auto"/>
                                                          </w:divBdr>
                                                          <w:divsChild>
                                                            <w:div w:id="15194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54417">
                                                      <w:marLeft w:val="0"/>
                                                      <w:marRight w:val="0"/>
                                                      <w:marTop w:val="0"/>
                                                      <w:marBottom w:val="0"/>
                                                      <w:divBdr>
                                                        <w:top w:val="none" w:sz="0" w:space="0" w:color="auto"/>
                                                        <w:left w:val="none" w:sz="0" w:space="0" w:color="auto"/>
                                                        <w:bottom w:val="none" w:sz="0" w:space="0" w:color="auto"/>
                                                        <w:right w:val="none" w:sz="0" w:space="0" w:color="auto"/>
                                                      </w:divBdr>
                                                      <w:divsChild>
                                                        <w:div w:id="1585919960">
                                                          <w:marLeft w:val="0"/>
                                                          <w:marRight w:val="0"/>
                                                          <w:marTop w:val="0"/>
                                                          <w:marBottom w:val="0"/>
                                                          <w:divBdr>
                                                            <w:top w:val="none" w:sz="0" w:space="0" w:color="auto"/>
                                                            <w:left w:val="none" w:sz="0" w:space="0" w:color="auto"/>
                                                            <w:bottom w:val="none" w:sz="0" w:space="0" w:color="auto"/>
                                                            <w:right w:val="none" w:sz="0" w:space="0" w:color="auto"/>
                                                          </w:divBdr>
                                                          <w:divsChild>
                                                            <w:div w:id="147798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21443">
                                                      <w:marLeft w:val="0"/>
                                                      <w:marRight w:val="0"/>
                                                      <w:marTop w:val="0"/>
                                                      <w:marBottom w:val="0"/>
                                                      <w:divBdr>
                                                        <w:top w:val="none" w:sz="0" w:space="0" w:color="auto"/>
                                                        <w:left w:val="none" w:sz="0" w:space="0" w:color="auto"/>
                                                        <w:bottom w:val="none" w:sz="0" w:space="0" w:color="auto"/>
                                                        <w:right w:val="none" w:sz="0" w:space="0" w:color="auto"/>
                                                      </w:divBdr>
                                                      <w:divsChild>
                                                        <w:div w:id="385102440">
                                                          <w:marLeft w:val="0"/>
                                                          <w:marRight w:val="0"/>
                                                          <w:marTop w:val="0"/>
                                                          <w:marBottom w:val="0"/>
                                                          <w:divBdr>
                                                            <w:top w:val="none" w:sz="0" w:space="0" w:color="auto"/>
                                                            <w:left w:val="none" w:sz="0" w:space="0" w:color="auto"/>
                                                            <w:bottom w:val="none" w:sz="0" w:space="0" w:color="auto"/>
                                                            <w:right w:val="none" w:sz="0" w:space="0" w:color="auto"/>
                                                          </w:divBdr>
                                                          <w:divsChild>
                                                            <w:div w:id="6731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3743">
                                                      <w:marLeft w:val="0"/>
                                                      <w:marRight w:val="0"/>
                                                      <w:marTop w:val="0"/>
                                                      <w:marBottom w:val="0"/>
                                                      <w:divBdr>
                                                        <w:top w:val="none" w:sz="0" w:space="0" w:color="auto"/>
                                                        <w:left w:val="none" w:sz="0" w:space="0" w:color="auto"/>
                                                        <w:bottom w:val="none" w:sz="0" w:space="0" w:color="auto"/>
                                                        <w:right w:val="none" w:sz="0" w:space="0" w:color="auto"/>
                                                      </w:divBdr>
                                                      <w:divsChild>
                                                        <w:div w:id="1353874694">
                                                          <w:marLeft w:val="0"/>
                                                          <w:marRight w:val="0"/>
                                                          <w:marTop w:val="0"/>
                                                          <w:marBottom w:val="0"/>
                                                          <w:divBdr>
                                                            <w:top w:val="none" w:sz="0" w:space="0" w:color="auto"/>
                                                            <w:left w:val="none" w:sz="0" w:space="0" w:color="auto"/>
                                                            <w:bottom w:val="none" w:sz="0" w:space="0" w:color="auto"/>
                                                            <w:right w:val="none" w:sz="0" w:space="0" w:color="auto"/>
                                                          </w:divBdr>
                                                          <w:divsChild>
                                                            <w:div w:id="8921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5692">
                                                      <w:marLeft w:val="0"/>
                                                      <w:marRight w:val="0"/>
                                                      <w:marTop w:val="0"/>
                                                      <w:marBottom w:val="0"/>
                                                      <w:divBdr>
                                                        <w:top w:val="none" w:sz="0" w:space="0" w:color="auto"/>
                                                        <w:left w:val="none" w:sz="0" w:space="0" w:color="auto"/>
                                                        <w:bottom w:val="none" w:sz="0" w:space="0" w:color="auto"/>
                                                        <w:right w:val="none" w:sz="0" w:space="0" w:color="auto"/>
                                                      </w:divBdr>
                                                      <w:divsChild>
                                                        <w:div w:id="101995341">
                                                          <w:marLeft w:val="0"/>
                                                          <w:marRight w:val="0"/>
                                                          <w:marTop w:val="0"/>
                                                          <w:marBottom w:val="0"/>
                                                          <w:divBdr>
                                                            <w:top w:val="none" w:sz="0" w:space="0" w:color="auto"/>
                                                            <w:left w:val="none" w:sz="0" w:space="0" w:color="auto"/>
                                                            <w:bottom w:val="none" w:sz="0" w:space="0" w:color="auto"/>
                                                            <w:right w:val="none" w:sz="0" w:space="0" w:color="auto"/>
                                                          </w:divBdr>
                                                          <w:divsChild>
                                                            <w:div w:id="71847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78876">
                                                      <w:marLeft w:val="0"/>
                                                      <w:marRight w:val="0"/>
                                                      <w:marTop w:val="0"/>
                                                      <w:marBottom w:val="0"/>
                                                      <w:divBdr>
                                                        <w:top w:val="none" w:sz="0" w:space="0" w:color="auto"/>
                                                        <w:left w:val="none" w:sz="0" w:space="0" w:color="auto"/>
                                                        <w:bottom w:val="none" w:sz="0" w:space="0" w:color="auto"/>
                                                        <w:right w:val="none" w:sz="0" w:space="0" w:color="auto"/>
                                                      </w:divBdr>
                                                      <w:divsChild>
                                                        <w:div w:id="1260944237">
                                                          <w:marLeft w:val="0"/>
                                                          <w:marRight w:val="0"/>
                                                          <w:marTop w:val="0"/>
                                                          <w:marBottom w:val="0"/>
                                                          <w:divBdr>
                                                            <w:top w:val="none" w:sz="0" w:space="0" w:color="auto"/>
                                                            <w:left w:val="none" w:sz="0" w:space="0" w:color="auto"/>
                                                            <w:bottom w:val="none" w:sz="0" w:space="0" w:color="auto"/>
                                                            <w:right w:val="none" w:sz="0" w:space="0" w:color="auto"/>
                                                          </w:divBdr>
                                                          <w:divsChild>
                                                            <w:div w:id="20027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49248">
                                                      <w:marLeft w:val="0"/>
                                                      <w:marRight w:val="0"/>
                                                      <w:marTop w:val="0"/>
                                                      <w:marBottom w:val="0"/>
                                                      <w:divBdr>
                                                        <w:top w:val="none" w:sz="0" w:space="0" w:color="auto"/>
                                                        <w:left w:val="none" w:sz="0" w:space="0" w:color="auto"/>
                                                        <w:bottom w:val="none" w:sz="0" w:space="0" w:color="auto"/>
                                                        <w:right w:val="none" w:sz="0" w:space="0" w:color="auto"/>
                                                      </w:divBdr>
                                                      <w:divsChild>
                                                        <w:div w:id="1236670735">
                                                          <w:marLeft w:val="0"/>
                                                          <w:marRight w:val="0"/>
                                                          <w:marTop w:val="0"/>
                                                          <w:marBottom w:val="0"/>
                                                          <w:divBdr>
                                                            <w:top w:val="none" w:sz="0" w:space="0" w:color="auto"/>
                                                            <w:left w:val="none" w:sz="0" w:space="0" w:color="auto"/>
                                                            <w:bottom w:val="none" w:sz="0" w:space="0" w:color="auto"/>
                                                            <w:right w:val="none" w:sz="0" w:space="0" w:color="auto"/>
                                                          </w:divBdr>
                                                          <w:divsChild>
                                                            <w:div w:id="11631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83258">
                                                  <w:marLeft w:val="0"/>
                                                  <w:marRight w:val="0"/>
                                                  <w:marTop w:val="0"/>
                                                  <w:marBottom w:val="0"/>
                                                  <w:divBdr>
                                                    <w:top w:val="none" w:sz="0" w:space="0" w:color="auto"/>
                                                    <w:left w:val="none" w:sz="0" w:space="0" w:color="auto"/>
                                                    <w:bottom w:val="none" w:sz="0" w:space="0" w:color="auto"/>
                                                    <w:right w:val="none" w:sz="0" w:space="0" w:color="auto"/>
                                                  </w:divBdr>
                                                  <w:divsChild>
                                                    <w:div w:id="1374575226">
                                                      <w:marLeft w:val="0"/>
                                                      <w:marRight w:val="0"/>
                                                      <w:marTop w:val="0"/>
                                                      <w:marBottom w:val="0"/>
                                                      <w:divBdr>
                                                        <w:top w:val="none" w:sz="0" w:space="0" w:color="auto"/>
                                                        <w:left w:val="none" w:sz="0" w:space="0" w:color="auto"/>
                                                        <w:bottom w:val="none" w:sz="0" w:space="0" w:color="auto"/>
                                                        <w:right w:val="none" w:sz="0" w:space="0" w:color="auto"/>
                                                      </w:divBdr>
                                                    </w:div>
                                                    <w:div w:id="83843353">
                                                      <w:marLeft w:val="0"/>
                                                      <w:marRight w:val="0"/>
                                                      <w:marTop w:val="0"/>
                                                      <w:marBottom w:val="0"/>
                                                      <w:divBdr>
                                                        <w:top w:val="none" w:sz="0" w:space="0" w:color="auto"/>
                                                        <w:left w:val="none" w:sz="0" w:space="0" w:color="auto"/>
                                                        <w:bottom w:val="none" w:sz="0" w:space="0" w:color="auto"/>
                                                        <w:right w:val="none" w:sz="0" w:space="0" w:color="auto"/>
                                                      </w:divBdr>
                                                      <w:divsChild>
                                                        <w:div w:id="760831386">
                                                          <w:marLeft w:val="0"/>
                                                          <w:marRight w:val="0"/>
                                                          <w:marTop w:val="0"/>
                                                          <w:marBottom w:val="0"/>
                                                          <w:divBdr>
                                                            <w:top w:val="none" w:sz="0" w:space="0" w:color="auto"/>
                                                            <w:left w:val="none" w:sz="0" w:space="0" w:color="auto"/>
                                                            <w:bottom w:val="none" w:sz="0" w:space="0" w:color="auto"/>
                                                            <w:right w:val="none" w:sz="0" w:space="0" w:color="auto"/>
                                                          </w:divBdr>
                                                        </w:div>
                                                      </w:divsChild>
                                                    </w:div>
                                                    <w:div w:id="211772848">
                                                      <w:marLeft w:val="0"/>
                                                      <w:marRight w:val="0"/>
                                                      <w:marTop w:val="0"/>
                                                      <w:marBottom w:val="0"/>
                                                      <w:divBdr>
                                                        <w:top w:val="none" w:sz="0" w:space="0" w:color="auto"/>
                                                        <w:left w:val="none" w:sz="0" w:space="0" w:color="auto"/>
                                                        <w:bottom w:val="none" w:sz="0" w:space="0" w:color="auto"/>
                                                        <w:right w:val="none" w:sz="0" w:space="0" w:color="auto"/>
                                                      </w:divBdr>
                                                      <w:divsChild>
                                                        <w:div w:id="8725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260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918710286B49D3A95349164B50FD5E"/>
        <w:category>
          <w:name w:val="Ogólne"/>
          <w:gallery w:val="placeholder"/>
        </w:category>
        <w:types>
          <w:type w:val="bbPlcHdr"/>
        </w:types>
        <w:behaviors>
          <w:behavior w:val="content"/>
        </w:behaviors>
        <w:guid w:val="{F6281584-AD98-483A-9B7A-F8EAFE94CEC2}"/>
      </w:docPartPr>
      <w:docPartBody>
        <w:p w:rsidR="008F4AFC" w:rsidRDefault="00B91AA2" w:rsidP="00B91AA2">
          <w:pPr>
            <w:pStyle w:val="6C918710286B49D3A95349164B50FD5E"/>
          </w:pPr>
          <w:r w:rsidRPr="008D2484">
            <w:rPr>
              <w:rStyle w:val="Tekstzastpczy"/>
            </w:rPr>
            <w:t>Wybierz element.</w:t>
          </w:r>
        </w:p>
      </w:docPartBody>
    </w:docPart>
    <w:docPart>
      <w:docPartPr>
        <w:name w:val="1C146A7BD65A4D4ABF4AD7C02A7EBDDA"/>
        <w:category>
          <w:name w:val="Ogólne"/>
          <w:gallery w:val="placeholder"/>
        </w:category>
        <w:types>
          <w:type w:val="bbPlcHdr"/>
        </w:types>
        <w:behaviors>
          <w:behavior w:val="content"/>
        </w:behaviors>
        <w:guid w:val="{FDF2833C-87AD-4B87-A582-1E8465F1701C}"/>
      </w:docPartPr>
      <w:docPartBody>
        <w:p w:rsidR="009E6519" w:rsidRDefault="00B91AA2">
          <w:pPr>
            <w:pStyle w:val="1C146A7BD65A4D4ABF4AD7C02A7EBDDA"/>
          </w:pPr>
          <w:r w:rsidRPr="008D2484">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AA2"/>
    <w:rsid w:val="000A0557"/>
    <w:rsid w:val="0014111F"/>
    <w:rsid w:val="0017180E"/>
    <w:rsid w:val="0017735E"/>
    <w:rsid w:val="001A4FE6"/>
    <w:rsid w:val="001C5A3E"/>
    <w:rsid w:val="0020147D"/>
    <w:rsid w:val="002B3491"/>
    <w:rsid w:val="002D095B"/>
    <w:rsid w:val="002F5FCF"/>
    <w:rsid w:val="00343FB5"/>
    <w:rsid w:val="003A0661"/>
    <w:rsid w:val="003B0E0A"/>
    <w:rsid w:val="003E6F60"/>
    <w:rsid w:val="00400193"/>
    <w:rsid w:val="00411300"/>
    <w:rsid w:val="0048044F"/>
    <w:rsid w:val="004A1C5F"/>
    <w:rsid w:val="00531C98"/>
    <w:rsid w:val="00544D3E"/>
    <w:rsid w:val="005A637B"/>
    <w:rsid w:val="0065402D"/>
    <w:rsid w:val="006B2BBF"/>
    <w:rsid w:val="0071132C"/>
    <w:rsid w:val="00737D02"/>
    <w:rsid w:val="007B1B54"/>
    <w:rsid w:val="008D75EA"/>
    <w:rsid w:val="008F4AFC"/>
    <w:rsid w:val="008F4B2E"/>
    <w:rsid w:val="00902105"/>
    <w:rsid w:val="0092731A"/>
    <w:rsid w:val="00940C11"/>
    <w:rsid w:val="009443F9"/>
    <w:rsid w:val="0097138C"/>
    <w:rsid w:val="009E14FD"/>
    <w:rsid w:val="009E6519"/>
    <w:rsid w:val="00A81BE9"/>
    <w:rsid w:val="00A83D98"/>
    <w:rsid w:val="00B13845"/>
    <w:rsid w:val="00B828D3"/>
    <w:rsid w:val="00B91AA2"/>
    <w:rsid w:val="00BA487D"/>
    <w:rsid w:val="00BA7095"/>
    <w:rsid w:val="00BD785E"/>
    <w:rsid w:val="00BF5186"/>
    <w:rsid w:val="00C45AD3"/>
    <w:rsid w:val="00C46D77"/>
    <w:rsid w:val="00C546C2"/>
    <w:rsid w:val="00C61416"/>
    <w:rsid w:val="00C931BD"/>
    <w:rsid w:val="00CA044A"/>
    <w:rsid w:val="00CC2AE9"/>
    <w:rsid w:val="00D35E1E"/>
    <w:rsid w:val="00D65C95"/>
    <w:rsid w:val="00D90B90"/>
    <w:rsid w:val="00E34D0C"/>
    <w:rsid w:val="00E51934"/>
    <w:rsid w:val="00F108B7"/>
    <w:rsid w:val="00F2756E"/>
    <w:rsid w:val="00F6721B"/>
    <w:rsid w:val="00FA1203"/>
    <w:rsid w:val="00FF1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402D"/>
    <w:rPr>
      <w:color w:val="808080"/>
    </w:rPr>
  </w:style>
  <w:style w:type="paragraph" w:customStyle="1" w:styleId="00F1B7EC652C4EC0879C8ABBBBC8A71A">
    <w:name w:val="00F1B7EC652C4EC0879C8ABBBBC8A71A"/>
    <w:rsid w:val="00B91AA2"/>
  </w:style>
  <w:style w:type="paragraph" w:customStyle="1" w:styleId="4290FDAED8144918BF17525A5F5AA72B">
    <w:name w:val="4290FDAED8144918BF17525A5F5AA72B"/>
    <w:rsid w:val="00B91AA2"/>
  </w:style>
  <w:style w:type="paragraph" w:customStyle="1" w:styleId="EB2B9F5848144B4BA6D44F18AEF6D8FB">
    <w:name w:val="EB2B9F5848144B4BA6D44F18AEF6D8FB"/>
    <w:rsid w:val="00B91AA2"/>
  </w:style>
  <w:style w:type="paragraph" w:customStyle="1" w:styleId="6C918710286B49D3A95349164B50FD5E">
    <w:name w:val="6C918710286B49D3A95349164B50FD5E"/>
    <w:rsid w:val="00B91AA2"/>
  </w:style>
  <w:style w:type="paragraph" w:customStyle="1" w:styleId="1C146A7BD65A4D4ABF4AD7C02A7EBDDA">
    <w:name w:val="1C146A7BD65A4D4ABF4AD7C02A7EBDDA"/>
  </w:style>
  <w:style w:type="paragraph" w:customStyle="1" w:styleId="86B340D7063247998D5792741A68CB8A">
    <w:name w:val="86B340D7063247998D5792741A68CB8A"/>
    <w:rsid w:val="0065402D"/>
  </w:style>
  <w:style w:type="paragraph" w:customStyle="1" w:styleId="7ECF1C830E9B47628216FE2B178DAE9B">
    <w:name w:val="7ECF1C830E9B47628216FE2B178DAE9B"/>
    <w:rsid w:val="006540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966D6-7B30-4A13-9E9A-43ACF27A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13265</Words>
  <Characters>79595</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2019-07-18T15:32:00Z</dcterms:created>
  <dcterms:modified xsi:type="dcterms:W3CDTF">2019-07-18T16:04:00Z</dcterms:modified>
</cp:coreProperties>
</file>